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525207954" w:displacedByCustomXml="next"/>
    <w:sdt>
      <w:sdtPr>
        <w:rPr>
          <w:rFonts w:ascii="Arial Narrow" w:eastAsiaTheme="majorEastAsia" w:hAnsi="Arial Narrow" w:cs="Arial"/>
          <w:sz w:val="24"/>
          <w:szCs w:val="24"/>
        </w:rPr>
        <w:id w:val="898481685"/>
        <w:docPartObj>
          <w:docPartGallery w:val="Cover Pages"/>
          <w:docPartUnique/>
        </w:docPartObj>
      </w:sdtPr>
      <w:sdtEndPr>
        <w:rPr>
          <w:color w:val="4472C4" w:themeColor="accent1"/>
          <w:lang w:val="es-DO"/>
        </w:rPr>
      </w:sdtEndPr>
      <w:sdtContent>
        <w:p w14:paraId="48B02419" w14:textId="0478A4F0" w:rsidR="00FA6579" w:rsidRDefault="00FA6579" w:rsidP="00E83D6E">
          <w:pPr>
            <w:jc w:val="both"/>
            <w:rPr>
              <w:noProof/>
            </w:rPr>
          </w:pPr>
        </w:p>
        <w:p w14:paraId="2464A283" w14:textId="7A3B1C0D" w:rsidR="00C11283" w:rsidRDefault="00FA6579" w:rsidP="009E2C8F">
          <w:pPr>
            <w:rPr>
              <w:rFonts w:ascii="Arial Narrow" w:hAnsi="Arial Narrow" w:cs="Arial"/>
              <w:sz w:val="24"/>
              <w:szCs w:val="24"/>
            </w:rPr>
          </w:pPr>
          <w:r>
            <w:rPr>
              <w:noProof/>
              <w:lang w:val="es-DO" w:eastAsia="es-DO"/>
            </w:rPr>
            <w:drawing>
              <wp:inline distT="0" distB="0" distL="0" distR="0" wp14:anchorId="522783C7" wp14:editId="2E811393">
                <wp:extent cx="4849988" cy="1333500"/>
                <wp:effectExtent l="0" t="0" r="0" b="0"/>
                <wp:docPr id="4" name="Imagen 4"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ba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9988" cy="1333500"/>
                        </a:xfrm>
                        <a:prstGeom prst="rect">
                          <a:avLst/>
                        </a:prstGeom>
                        <a:noFill/>
                        <a:ln>
                          <a:noFill/>
                        </a:ln>
                      </pic:spPr>
                    </pic:pic>
                  </a:graphicData>
                </a:graphic>
              </wp:inline>
            </w:drawing>
          </w:r>
        </w:p>
        <w:p w14:paraId="43BB52F5" w14:textId="531DC89B" w:rsidR="00C11283" w:rsidRDefault="00C11283" w:rsidP="00E87901">
          <w:pPr>
            <w:rPr>
              <w:rFonts w:ascii="Arial Narrow" w:hAnsi="Arial Narrow" w:cs="Arial"/>
              <w:noProof/>
              <w:sz w:val="24"/>
              <w:szCs w:val="24"/>
            </w:rPr>
          </w:pPr>
        </w:p>
        <w:p w14:paraId="046A52E8" w14:textId="28DD306E" w:rsidR="00E87901" w:rsidRPr="00C11283" w:rsidRDefault="00E87901" w:rsidP="00E87901">
          <w:pPr>
            <w:rPr>
              <w:rFonts w:ascii="Arial Narrow" w:hAnsi="Arial Narrow" w:cs="Arial"/>
              <w:color w:val="4472C4" w:themeColor="accent1"/>
              <w:sz w:val="24"/>
              <w:szCs w:val="24"/>
              <w:lang w:val="es-DO"/>
            </w:rPr>
          </w:pPr>
          <w:r w:rsidRPr="00C11283">
            <w:rPr>
              <w:rFonts w:ascii="Arial Narrow" w:hAnsi="Arial Narrow" w:cs="Arial"/>
              <w:noProof/>
              <w:color w:val="4472C4" w:themeColor="accent1"/>
              <w:sz w:val="24"/>
              <w:szCs w:val="24"/>
              <w:lang w:val="es-DO" w:eastAsia="es-DO"/>
            </w:rPr>
            <mc:AlternateContent>
              <mc:Choice Requires="wpg">
                <w:drawing>
                  <wp:anchor distT="0" distB="0" distL="114300" distR="114300" simplePos="0" relativeHeight="251666432" behindDoc="0" locked="0" layoutInCell="1" allowOverlap="1" wp14:anchorId="691DDAAB" wp14:editId="395AC00B">
                    <wp:simplePos x="0" y="0"/>
                    <wp:positionH relativeFrom="margin">
                      <wp:align>center</wp:align>
                    </wp:positionH>
                    <wp:positionV relativeFrom="paragraph">
                      <wp:posOffset>777875</wp:posOffset>
                    </wp:positionV>
                    <wp:extent cx="6915150" cy="3426460"/>
                    <wp:effectExtent l="0" t="0" r="0" b="2540"/>
                    <wp:wrapNone/>
                    <wp:docPr id="16" name="Grupo 16"/>
                    <wp:cNvGraphicFramePr/>
                    <a:graphic xmlns:a="http://schemas.openxmlformats.org/drawingml/2006/main">
                      <a:graphicData uri="http://schemas.microsoft.com/office/word/2010/wordprocessingGroup">
                        <wpg:wgp>
                          <wpg:cNvGrpSpPr/>
                          <wpg:grpSpPr>
                            <a:xfrm>
                              <a:off x="0" y="0"/>
                              <a:ext cx="6915150" cy="3426460"/>
                              <a:chOff x="0" y="0"/>
                              <a:chExt cx="7068185" cy="2422356"/>
                            </a:xfrm>
                          </wpg:grpSpPr>
                          <wpg:grpSp>
                            <wpg:cNvPr id="193" name="Grupo 193"/>
                            <wpg:cNvGrpSpPr/>
                            <wpg:grpSpPr>
                              <a:xfrm>
                                <a:off x="19878" y="49695"/>
                                <a:ext cx="7025621" cy="2372661"/>
                                <a:chOff x="6824" y="1831756"/>
                                <a:chExt cx="6877893" cy="3142208"/>
                              </a:xfrm>
                            </wpg:grpSpPr>
                            <wps:wsp>
                              <wps:cNvPr id="195" name="Rectángulo 195"/>
                              <wps:cNvSpPr/>
                              <wps:spPr>
                                <a:xfrm>
                                  <a:off x="26717" y="4913417"/>
                                  <a:ext cx="6858000" cy="60547"/>
                                </a:xfrm>
                                <a:prstGeom prst="rect">
                                  <a:avLst/>
                                </a:prstGeom>
                                <a:ln>
                                  <a:noFill/>
                                </a:ln>
                              </wps:spPr>
                              <wps:style>
                                <a:lnRef idx="0">
                                  <a:scrgbClr r="0" g="0" b="0"/>
                                </a:lnRef>
                                <a:fillRef idx="1002">
                                  <a:schemeClr val="dk2"/>
                                </a:fillRef>
                                <a:effectRef idx="0">
                                  <a:scrgbClr r="0" g="0" b="0"/>
                                </a:effectRef>
                                <a:fontRef idx="minor">
                                  <a:schemeClr val="lt1"/>
                                </a:fontRef>
                              </wps:style>
                              <wps:txbx>
                                <w:txbxContent>
                                  <w:sdt>
                                    <w:sdtPr>
                                      <w:rPr>
                                        <w:color w:val="FFFFFF" w:themeColor="background1"/>
                                      </w:rPr>
                                      <w:alias w:val="Autor"/>
                                      <w:tag w:val=""/>
                                      <w:id w:val="260108788"/>
                                      <w:dataBinding w:prefixMappings="xmlns:ns0='http://purl.org/dc/elements/1.1/' xmlns:ns1='http://schemas.openxmlformats.org/package/2006/metadata/core-properties' " w:xpath="/ns1:coreProperties[1]/ns0:creator[1]" w:storeItemID="{6C3C8BC8-F283-45AE-878A-BAB7291924A1}"/>
                                      <w:text/>
                                    </w:sdtPr>
                                    <w:sdtEndPr/>
                                    <w:sdtContent>
                                      <w:p w14:paraId="24362945" w14:textId="77777777" w:rsidR="00B71001" w:rsidRDefault="00B71001">
                                        <w:pPr>
                                          <w:pStyle w:val="Sinespaciado"/>
                                          <w:spacing w:before="120"/>
                                          <w:rPr>
                                            <w:color w:val="FFFFFF" w:themeColor="background1"/>
                                          </w:rPr>
                                        </w:pPr>
                                        <w:r>
                                          <w:rPr>
                                            <w:color w:val="FFFFFF" w:themeColor="background1"/>
                                          </w:rPr>
                                          <w:t>GERENCIA DE TARIFAS</w:t>
                                        </w:r>
                                      </w:p>
                                    </w:sdtContent>
                                  </w:sdt>
                                  <w:p w14:paraId="4CDA068B" w14:textId="77777777" w:rsidR="00B71001" w:rsidRDefault="00B63E31">
                                    <w:pPr>
                                      <w:pStyle w:val="Sinespaciado"/>
                                      <w:spacing w:before="120"/>
                                      <w:rPr>
                                        <w:color w:val="FFFFFF" w:themeColor="background1"/>
                                      </w:rPr>
                                    </w:pPr>
                                    <w:sdt>
                                      <w:sdtPr>
                                        <w:rPr>
                                          <w:caps/>
                                          <w:color w:val="FFFFFF" w:themeColor="background1"/>
                                        </w:rPr>
                                        <w:alias w:val="Compañía"/>
                                        <w:tag w:val=""/>
                                        <w:id w:val="-1663390017"/>
                                        <w:dataBinding w:prefixMappings="xmlns:ns0='http://schemas.openxmlformats.org/officeDocument/2006/extended-properties' " w:xpath="/ns0:Properties[1]/ns0:Company[1]" w:storeItemID="{6668398D-A668-4E3E-A5EB-62B293D839F1}"/>
                                        <w:text/>
                                      </w:sdtPr>
                                      <w:sdtEndPr/>
                                      <w:sdtContent>
                                        <w:r w:rsidR="00B71001">
                                          <w:rPr>
                                            <w:caps/>
                                            <w:color w:val="FFFFFF" w:themeColor="background1"/>
                                          </w:rPr>
                                          <w:t>SUPERINTENDENCIA DE ELECTRICIDAD</w:t>
                                        </w:r>
                                      </w:sdtContent>
                                    </w:sdt>
                                    <w:r w:rsidR="00B71001">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831756"/>
                                  <a:ext cx="6873983" cy="274493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2F94C" w14:textId="4FF71641" w:rsidR="00B71001" w:rsidRPr="00B03FBF" w:rsidRDefault="00B71001" w:rsidP="00B03FBF">
                                    <w:pPr>
                                      <w:rPr>
                                        <w:rFonts w:ascii="Trebuchet MS" w:eastAsiaTheme="majorEastAsia" w:hAnsi="Trebuchet MS" w:cstheme="majorBidi"/>
                                        <w:color w:val="2F5496"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1D8F9B" w14:textId="77777777" w:rsidR="00B71001" w:rsidRPr="00B03FBF" w:rsidRDefault="00B71001" w:rsidP="00B03FBF">
                                    <w:pPr>
                                      <w:rPr>
                                        <w:rFonts w:ascii="Trebuchet MS" w:eastAsiaTheme="majorEastAsia" w:hAnsi="Trebuchet MS" w:cstheme="majorBidi"/>
                                        <w:color w:val="2F5496"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FF70E5" w14:textId="77777777" w:rsidR="00B71001" w:rsidRDefault="00B71001" w:rsidP="00B03FBF">
                                    <w:pPr>
                                      <w:rPr>
                                        <w:rFonts w:ascii="Trebuchet MS" w:eastAsiaTheme="majorEastAsia" w:hAnsi="Trebuchet MS" w:cstheme="majorBidi"/>
                                        <w:color w:val="2F5496" w:themeColor="accent1"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eastAsiaTheme="majorEastAsia" w:hAnsi="Trebuchet MS" w:cstheme="majorBidi"/>
                                        <w:color w:val="2F5496" w:themeColor="accent1"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INFORME TÉCNICO</w:t>
                                    </w:r>
                                  </w:p>
                                  <w:p w14:paraId="4BD99348" w14:textId="6C55B951" w:rsidR="00B71001" w:rsidRDefault="00B71001" w:rsidP="00093842">
                                    <w:pPr>
                                      <w:rPr>
                                        <w:rFonts w:ascii="Trebuchet MS" w:eastAsiaTheme="majorEastAsia" w:hAnsi="Trebuchet MS" w:cstheme="majorBidi"/>
                                        <w:color w:val="2F5496" w:themeColor="accent1"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eastAsiaTheme="majorEastAsia" w:hAnsi="Trebuchet MS" w:cstheme="majorBidi"/>
                                        <w:color w:val="2F5496" w:themeColor="accent1"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MONITOREO INDICADORES DE DESEMPEÑO                  PACTO NACIONAL PARA LA REFORMA DEL SECTOR ELÉCTRICO</w:t>
                                    </w:r>
                                  </w:p>
                                  <w:p w14:paraId="2FB34EAA" w14:textId="2F585E83" w:rsidR="00B71001" w:rsidRPr="00093842" w:rsidRDefault="00B71001" w:rsidP="00093842">
                                    <w:pPr>
                                      <w:rPr>
                                        <w:rFonts w:ascii="Trebuchet MS" w:eastAsiaTheme="majorEastAsia" w:hAnsi="Trebuchet MS" w:cstheme="majorBidi"/>
                                        <w:color w:val="2F5496" w:themeColor="accent1"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eastAsiaTheme="majorEastAsia" w:hAnsi="Trebuchet MS" w:cstheme="majorBidi"/>
                                        <w:color w:val="2F5496" w:themeColor="accent1"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D448C2">
                                      <w:rPr>
                                        <w:rFonts w:ascii="Trebuchet MS" w:eastAsiaTheme="majorEastAsia" w:hAnsi="Trebuchet MS" w:cstheme="majorBidi"/>
                                        <w:color w:val="2F5496" w:themeColor="accent1"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JUNIO</w:t>
                                    </w:r>
                                    <w:r>
                                      <w:rPr>
                                        <w:rFonts w:ascii="Trebuchet MS" w:eastAsiaTheme="majorEastAsia" w:hAnsi="Trebuchet MS" w:cstheme="majorBidi"/>
                                        <w:color w:val="2F5496" w:themeColor="accent1"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p>
                                  <w:p w14:paraId="40F13C72" w14:textId="77777777" w:rsidR="00B71001" w:rsidRPr="003C2F75" w:rsidRDefault="00B71001" w:rsidP="009A093A">
                                    <w:pPr>
                                      <w:pStyle w:val="Sinespaciado"/>
                                      <w:jc w:val="both"/>
                                      <w:rPr>
                                        <w:rFonts w:asciiTheme="majorHAnsi" w:eastAsiaTheme="majorEastAsia" w:hAnsiTheme="majorHAnsi" w:cstheme="majorBidi"/>
                                        <w:color w:val="2F5496" w:themeColor="accent1"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grpSp>
                          <wps:wsp>
                            <wps:cNvPr id="14" name="Rectángulo 14"/>
                            <wps:cNvSpPr/>
                            <wps:spPr>
                              <a:xfrm>
                                <a:off x="0" y="0"/>
                                <a:ext cx="7068185" cy="5334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color w:val="FFFFFF" w:themeColor="background1"/>
                                    </w:rPr>
                                    <w:alias w:val="Autor"/>
                                    <w:tag w:val=""/>
                                    <w:id w:val="670602406"/>
                                    <w:dataBinding w:prefixMappings="xmlns:ns0='http://purl.org/dc/elements/1.1/' xmlns:ns1='http://schemas.openxmlformats.org/package/2006/metadata/core-properties' " w:xpath="/ns1:coreProperties[1]/ns0:creator[1]" w:storeItemID="{6C3C8BC8-F283-45AE-878A-BAB7291924A1}"/>
                                    <w:text/>
                                  </w:sdtPr>
                                  <w:sdtEndPr/>
                                  <w:sdtContent>
                                    <w:p w14:paraId="610A6FEB" w14:textId="77777777" w:rsidR="00B71001" w:rsidRDefault="00B71001" w:rsidP="005827EA">
                                      <w:pPr>
                                        <w:pStyle w:val="Sinespaciado"/>
                                        <w:spacing w:before="120"/>
                                        <w:rPr>
                                          <w:color w:val="FFFFFF" w:themeColor="background1"/>
                                        </w:rPr>
                                      </w:pPr>
                                      <w:r>
                                        <w:rPr>
                                          <w:color w:val="FFFFFF" w:themeColor="background1"/>
                                        </w:rPr>
                                        <w:t>GERENCIA DE TARIFAS</w:t>
                                      </w:r>
                                    </w:p>
                                  </w:sdtContent>
                                </w:sdt>
                                <w:p w14:paraId="68746269" w14:textId="77777777" w:rsidR="00B71001" w:rsidRDefault="00B63E31" w:rsidP="005827EA">
                                  <w:pPr>
                                    <w:pStyle w:val="Sinespaciado"/>
                                    <w:spacing w:before="120"/>
                                    <w:rPr>
                                      <w:color w:val="FFFFFF" w:themeColor="background1"/>
                                    </w:rPr>
                                  </w:pPr>
                                  <w:sdt>
                                    <w:sdtPr>
                                      <w:rPr>
                                        <w:caps/>
                                        <w:color w:val="FFFFFF" w:themeColor="background1"/>
                                      </w:rPr>
                                      <w:alias w:val="Compañía"/>
                                      <w:tag w:val=""/>
                                      <w:id w:val="-103966349"/>
                                      <w:dataBinding w:prefixMappings="xmlns:ns0='http://schemas.openxmlformats.org/officeDocument/2006/extended-properties' " w:xpath="/ns0:Properties[1]/ns0:Company[1]" w:storeItemID="{6668398D-A668-4E3E-A5EB-62B293D839F1}"/>
                                      <w:text/>
                                    </w:sdtPr>
                                    <w:sdtEndPr/>
                                    <w:sdtContent>
                                      <w:r w:rsidR="00B71001">
                                        <w:rPr>
                                          <w:caps/>
                                          <w:color w:val="FFFFFF" w:themeColor="background1"/>
                                        </w:rPr>
                                        <w:t>SUPERINTENDENCIA DE ELECTRICIDAD</w:t>
                                      </w:r>
                                    </w:sdtContent>
                                  </w:sdt>
                                  <w:r w:rsidR="00B71001">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1DDAAB" id="Grupo 16" o:spid="_x0000_s1026" style="position:absolute;left:0;text-align:left;margin-left:0;margin-top:61.25pt;width:544.5pt;height:269.8pt;z-index:251666432;mso-position-horizontal:center;mso-position-horizontal-relative:margin;mso-width-relative:margin;mso-height-relative:margin" coordsize="70681,2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">
                    <v:group id="Grupo 193" o:spid="_x0000_s1027" style="position:absolute;left:198;top:496;width:70256;height:23727" coordorigin="68,18317" coordsize="68778,3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ect id="Rectángulo 195" o:spid="_x0000_s1028" style="position:absolute;left:267;top:49134;width:68580;height:6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" fillcolor="#4a5c74 [3058]" stroked="f">
                        <v:textbox inset="36pt,57.6pt,36pt,36pt">
                          <w:txbxContent>
                            <w:sdt>
                              <w:sdtPr>
                                <w:rPr>
                                  <w:color w:val="FFFFFF" w:themeColor="background1"/>
                                </w:rPr>
                                <w:alias w:val="Autor"/>
                                <w:tag w:val=""/>
                                <w:id w:val="260108788"/>
                                <w:dataBinding w:prefixMappings="xmlns:ns0='http://purl.org/dc/elements/1.1/' xmlns:ns1='http://schemas.openxmlformats.org/package/2006/metadata/core-properties' " w:xpath="/ns1:coreProperties[1]/ns0:creator[1]" w:storeItemID="{6C3C8BC8-F283-45AE-878A-BAB7291924A1}"/>
                                <w:text/>
                              </w:sdtPr>
                              <w:sdtEndPr/>
                              <w:sdtContent>
                                <w:p w14:paraId="24362945" w14:textId="77777777" w:rsidR="00B71001" w:rsidRDefault="00B71001">
                                  <w:pPr>
                                    <w:pStyle w:val="Sinespaciado"/>
                                    <w:spacing w:before="120"/>
                                    <w:rPr>
                                      <w:color w:val="FFFFFF" w:themeColor="background1"/>
                                    </w:rPr>
                                  </w:pPr>
                                  <w:r>
                                    <w:rPr>
                                      <w:color w:val="FFFFFF" w:themeColor="background1"/>
                                    </w:rPr>
                                    <w:t>GERENCIA DE TARIFAS</w:t>
                                  </w:r>
                                </w:p>
                              </w:sdtContent>
                            </w:sdt>
                            <w:p w14:paraId="4CDA068B" w14:textId="77777777" w:rsidR="00B71001" w:rsidRDefault="00B63E31">
                              <w:pPr>
                                <w:pStyle w:val="Sinespaciado"/>
                                <w:spacing w:before="120"/>
                                <w:rPr>
                                  <w:color w:val="FFFFFF" w:themeColor="background1"/>
                                </w:rPr>
                              </w:pPr>
                              <w:sdt>
                                <w:sdtPr>
                                  <w:rPr>
                                    <w:caps/>
                                    <w:color w:val="FFFFFF" w:themeColor="background1"/>
                                  </w:rPr>
                                  <w:alias w:val="Compañía"/>
                                  <w:tag w:val=""/>
                                  <w:id w:val="-1663390017"/>
                                  <w:dataBinding w:prefixMappings="xmlns:ns0='http://schemas.openxmlformats.org/officeDocument/2006/extended-properties' " w:xpath="/ns0:Properties[1]/ns0:Company[1]" w:storeItemID="{6668398D-A668-4E3E-A5EB-62B293D839F1}"/>
                                  <w:text/>
                                </w:sdtPr>
                                <w:sdtEndPr/>
                                <w:sdtContent>
                                  <w:r w:rsidR="00B71001">
                                    <w:rPr>
                                      <w:caps/>
                                      <w:color w:val="FFFFFF" w:themeColor="background1"/>
                                    </w:rPr>
                                    <w:t>SUPERINTENDENCIA DE ELECTRICIDAD</w:t>
                                  </w:r>
                                </w:sdtContent>
                              </w:sdt>
                              <w:r w:rsidR="00B71001">
                                <w:rPr>
                                  <w:color w:val="FFFFFF" w:themeColor="background1"/>
                                </w:rPr>
                                <w:t>  </w:t>
                              </w:r>
                            </w:p>
                          </w:txbxContent>
                        </v:textbox>
                      </v:rect>
                      <v:shapetype id="_x0000_t202" coordsize="21600,21600" o:spt="202" path="m,l,21600r21600,l21600,xe">
                        <v:stroke joinstyle="miter"/>
                        <v:path gradientshapeok="t" o:connecttype="rect"/>
                      </v:shapetype>
                      <v:shape id="Cuadro de texto 196" o:spid="_x0000_s1029" type="#_x0000_t202" style="position:absolute;left:68;top:18317;width:68740;height:27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6832F94C" w14:textId="4FF71641" w:rsidR="00B71001" w:rsidRPr="00B03FBF" w:rsidRDefault="00B71001" w:rsidP="00B03FBF">
                              <w:pPr>
                                <w:rPr>
                                  <w:rFonts w:ascii="Trebuchet MS" w:eastAsiaTheme="majorEastAsia" w:hAnsi="Trebuchet MS" w:cstheme="majorBidi"/>
                                  <w:color w:val="2F5496"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1D8F9B" w14:textId="77777777" w:rsidR="00B71001" w:rsidRPr="00B03FBF" w:rsidRDefault="00B71001" w:rsidP="00B03FBF">
                              <w:pPr>
                                <w:rPr>
                                  <w:rFonts w:ascii="Trebuchet MS" w:eastAsiaTheme="majorEastAsia" w:hAnsi="Trebuchet MS" w:cstheme="majorBidi"/>
                                  <w:color w:val="2F5496"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FF70E5" w14:textId="77777777" w:rsidR="00B71001" w:rsidRDefault="00B71001" w:rsidP="00B03FBF">
                              <w:pPr>
                                <w:rPr>
                                  <w:rFonts w:ascii="Trebuchet MS" w:eastAsiaTheme="majorEastAsia" w:hAnsi="Trebuchet MS" w:cstheme="majorBidi"/>
                                  <w:color w:val="2F5496" w:themeColor="accent1"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eastAsiaTheme="majorEastAsia" w:hAnsi="Trebuchet MS" w:cstheme="majorBidi"/>
                                  <w:color w:val="2F5496" w:themeColor="accent1"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INFORME TÉCNICO</w:t>
                              </w:r>
                            </w:p>
                            <w:p w14:paraId="4BD99348" w14:textId="6C55B951" w:rsidR="00B71001" w:rsidRDefault="00B71001" w:rsidP="00093842">
                              <w:pPr>
                                <w:rPr>
                                  <w:rFonts w:ascii="Trebuchet MS" w:eastAsiaTheme="majorEastAsia" w:hAnsi="Trebuchet MS" w:cstheme="majorBidi"/>
                                  <w:color w:val="2F5496" w:themeColor="accent1"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eastAsiaTheme="majorEastAsia" w:hAnsi="Trebuchet MS" w:cstheme="majorBidi"/>
                                  <w:color w:val="2F5496" w:themeColor="accent1"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MONITOREO INDICADORES DE DESEMPEÑO                  PACTO NACIONAL PARA LA REFORMA DEL SECTOR ELÉCTRICO</w:t>
                              </w:r>
                            </w:p>
                            <w:p w14:paraId="2FB34EAA" w14:textId="2F585E83" w:rsidR="00B71001" w:rsidRPr="00093842" w:rsidRDefault="00B71001" w:rsidP="00093842">
                              <w:pPr>
                                <w:rPr>
                                  <w:rFonts w:ascii="Trebuchet MS" w:eastAsiaTheme="majorEastAsia" w:hAnsi="Trebuchet MS" w:cstheme="majorBidi"/>
                                  <w:color w:val="2F5496" w:themeColor="accent1"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eastAsiaTheme="majorEastAsia" w:hAnsi="Trebuchet MS" w:cstheme="majorBidi"/>
                                  <w:color w:val="2F5496" w:themeColor="accent1"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D448C2">
                                <w:rPr>
                                  <w:rFonts w:ascii="Trebuchet MS" w:eastAsiaTheme="majorEastAsia" w:hAnsi="Trebuchet MS" w:cstheme="majorBidi"/>
                                  <w:color w:val="2F5496" w:themeColor="accent1"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JUNIO</w:t>
                              </w:r>
                              <w:r>
                                <w:rPr>
                                  <w:rFonts w:ascii="Trebuchet MS" w:eastAsiaTheme="majorEastAsia" w:hAnsi="Trebuchet MS" w:cstheme="majorBidi"/>
                                  <w:color w:val="2F5496" w:themeColor="accent1"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p>
                            <w:p w14:paraId="40F13C72" w14:textId="77777777" w:rsidR="00B71001" w:rsidRPr="003C2F75" w:rsidRDefault="00B71001" w:rsidP="009A093A">
                              <w:pPr>
                                <w:pStyle w:val="Sinespaciado"/>
                                <w:jc w:val="both"/>
                                <w:rPr>
                                  <w:rFonts w:asciiTheme="majorHAnsi" w:eastAsiaTheme="majorEastAsia" w:hAnsiTheme="majorHAnsi" w:cstheme="majorBidi"/>
                                  <w:color w:val="2F5496" w:themeColor="accent1"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v:rect id="Rectángulo 14" o:spid="_x0000_s1030" style="position:absolute;width:70681;height:5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" fillcolor="#4d5f78 [2994]" stroked="f" strokeweight="1.5pt">
                      <v:fill color2="#2a3442 [2018]" rotate="t" colors="0 #5d6d85;.5 #485972;1 #334258" focus="100%" type="gradient">
                        <o:fill v:ext="view" type="gradientUnscaled"/>
                      </v:fill>
                      <v:textbox inset="36pt,57.6pt,36pt,36pt">
                        <w:txbxContent>
                          <w:sdt>
                            <w:sdtPr>
                              <w:rPr>
                                <w:color w:val="FFFFFF" w:themeColor="background1"/>
                              </w:rPr>
                              <w:alias w:val="Autor"/>
                              <w:tag w:val=""/>
                              <w:id w:val="670602406"/>
                              <w:dataBinding w:prefixMappings="xmlns:ns0='http://purl.org/dc/elements/1.1/' xmlns:ns1='http://schemas.openxmlformats.org/package/2006/metadata/core-properties' " w:xpath="/ns1:coreProperties[1]/ns0:creator[1]" w:storeItemID="{6C3C8BC8-F283-45AE-878A-BAB7291924A1}"/>
                              <w:text/>
                            </w:sdtPr>
                            <w:sdtEndPr/>
                            <w:sdtContent>
                              <w:p w14:paraId="610A6FEB" w14:textId="77777777" w:rsidR="00B71001" w:rsidRDefault="00B71001" w:rsidP="005827EA">
                                <w:pPr>
                                  <w:pStyle w:val="Sinespaciado"/>
                                  <w:spacing w:before="120"/>
                                  <w:rPr>
                                    <w:color w:val="FFFFFF" w:themeColor="background1"/>
                                  </w:rPr>
                                </w:pPr>
                                <w:r>
                                  <w:rPr>
                                    <w:color w:val="FFFFFF" w:themeColor="background1"/>
                                  </w:rPr>
                                  <w:t>GERENCIA DE TARIFAS</w:t>
                                </w:r>
                              </w:p>
                            </w:sdtContent>
                          </w:sdt>
                          <w:p w14:paraId="68746269" w14:textId="77777777" w:rsidR="00B71001" w:rsidRDefault="00B63E31" w:rsidP="005827EA">
                            <w:pPr>
                              <w:pStyle w:val="Sinespaciado"/>
                              <w:spacing w:before="120"/>
                              <w:rPr>
                                <w:color w:val="FFFFFF" w:themeColor="background1"/>
                              </w:rPr>
                            </w:pPr>
                            <w:sdt>
                              <w:sdtPr>
                                <w:rPr>
                                  <w:caps/>
                                  <w:color w:val="FFFFFF" w:themeColor="background1"/>
                                </w:rPr>
                                <w:alias w:val="Compañía"/>
                                <w:tag w:val=""/>
                                <w:id w:val="-103966349"/>
                                <w:dataBinding w:prefixMappings="xmlns:ns0='http://schemas.openxmlformats.org/officeDocument/2006/extended-properties' " w:xpath="/ns0:Properties[1]/ns0:Company[1]" w:storeItemID="{6668398D-A668-4E3E-A5EB-62B293D839F1}"/>
                                <w:text/>
                              </w:sdtPr>
                              <w:sdtEndPr/>
                              <w:sdtContent>
                                <w:r w:rsidR="00B71001">
                                  <w:rPr>
                                    <w:caps/>
                                    <w:color w:val="FFFFFF" w:themeColor="background1"/>
                                  </w:rPr>
                                  <w:t>SUPERINTENDENCIA DE ELECTRICIDAD</w:t>
                                </w:r>
                              </w:sdtContent>
                            </w:sdt>
                            <w:r w:rsidR="00B71001">
                              <w:rPr>
                                <w:color w:val="FFFFFF" w:themeColor="background1"/>
                              </w:rPr>
                              <w:t>  </w:t>
                            </w:r>
                          </w:p>
                        </w:txbxContent>
                      </v:textbox>
                    </v:rect>
                    <w10:wrap anchorx="margin"/>
                  </v:group>
                </w:pict>
              </mc:Fallback>
            </mc:AlternateContent>
          </w:r>
          <w:r w:rsidR="00B35011" w:rsidRPr="00C11283">
            <w:rPr>
              <w:rFonts w:ascii="Arial Narrow" w:hAnsi="Arial Narrow" w:cs="Arial"/>
              <w:color w:val="4472C4" w:themeColor="accent1"/>
              <w:sz w:val="24"/>
              <w:szCs w:val="24"/>
              <w:lang w:val="es-DO"/>
            </w:rPr>
            <w:br w:type="page"/>
          </w:r>
        </w:p>
        <w:p w14:paraId="7DFB2FD8" w14:textId="77777777" w:rsidR="00B35011" w:rsidRPr="00C11283" w:rsidRDefault="00B63E31" w:rsidP="00513D82">
          <w:pPr>
            <w:pStyle w:val="Ttulo1"/>
            <w:rPr>
              <w:rFonts w:ascii="Arial Narrow" w:hAnsi="Arial Narrow" w:cs="Arial"/>
              <w:color w:val="4472C4" w:themeColor="accent1"/>
              <w:sz w:val="24"/>
              <w:szCs w:val="24"/>
              <w:lang w:val="es-DO"/>
            </w:rPr>
          </w:pPr>
        </w:p>
      </w:sdtContent>
    </w:sdt>
    <w:sdt>
      <w:sdtPr>
        <w:rPr>
          <w:rFonts w:ascii="Arial Narrow" w:eastAsiaTheme="minorEastAsia" w:hAnsi="Arial Narrow" w:cs="Arial"/>
          <w:sz w:val="24"/>
          <w:szCs w:val="24"/>
        </w:rPr>
        <w:id w:val="1310587497"/>
        <w:docPartObj>
          <w:docPartGallery w:val="Table of Contents"/>
          <w:docPartUnique/>
        </w:docPartObj>
      </w:sdtPr>
      <w:sdtEndPr>
        <w:rPr>
          <w:b/>
          <w:bCs/>
        </w:rPr>
      </w:sdtEndPr>
      <w:sdtContent>
        <w:p w14:paraId="25A88C67" w14:textId="77777777" w:rsidR="00513D82" w:rsidRPr="00C11283" w:rsidRDefault="000F7A02" w:rsidP="008B564D">
          <w:pPr>
            <w:pStyle w:val="TtuloTDC"/>
            <w:spacing w:line="480" w:lineRule="auto"/>
            <w:rPr>
              <w:rFonts w:ascii="Arial Narrow" w:hAnsi="Arial Narrow" w:cs="Arial"/>
              <w:b/>
              <w:sz w:val="24"/>
              <w:szCs w:val="24"/>
            </w:rPr>
          </w:pPr>
          <w:r>
            <w:rPr>
              <w:rFonts w:ascii="Arial Narrow" w:hAnsi="Arial Narrow" w:cs="Arial"/>
              <w:b/>
              <w:sz w:val="24"/>
              <w:szCs w:val="24"/>
            </w:rPr>
            <w:t>INDICE</w:t>
          </w:r>
        </w:p>
        <w:p w14:paraId="68347A81" w14:textId="23BD6A5A" w:rsidR="0054327E" w:rsidRDefault="00513D82">
          <w:pPr>
            <w:pStyle w:val="TDC1"/>
            <w:rPr>
              <w:noProof/>
              <w:sz w:val="22"/>
              <w:szCs w:val="22"/>
              <w:lang w:eastAsia="es-ES"/>
            </w:rPr>
          </w:pPr>
          <w:r w:rsidRPr="00C11283">
            <w:rPr>
              <w:rFonts w:ascii="Arial Narrow" w:hAnsi="Arial Narrow" w:cs="Arial"/>
              <w:sz w:val="24"/>
              <w:szCs w:val="24"/>
            </w:rPr>
            <w:fldChar w:fldCharType="begin"/>
          </w:r>
          <w:r w:rsidRPr="00C11283">
            <w:rPr>
              <w:rFonts w:ascii="Arial Narrow" w:hAnsi="Arial Narrow" w:cs="Arial"/>
              <w:sz w:val="24"/>
              <w:szCs w:val="24"/>
            </w:rPr>
            <w:instrText xml:space="preserve"> TOC \o "1-3" \h \z \u </w:instrText>
          </w:r>
          <w:r w:rsidRPr="00C11283">
            <w:rPr>
              <w:rFonts w:ascii="Arial Narrow" w:hAnsi="Arial Narrow" w:cs="Arial"/>
              <w:sz w:val="24"/>
              <w:szCs w:val="24"/>
            </w:rPr>
            <w:fldChar w:fldCharType="separate"/>
          </w:r>
          <w:hyperlink w:anchor="_Toc114065686" w:history="1">
            <w:r w:rsidR="0054327E" w:rsidRPr="00C16C87">
              <w:rPr>
                <w:rStyle w:val="Hipervnculo"/>
                <w:rFonts w:cs="Arial"/>
                <w:b/>
              </w:rPr>
              <w:t>I.</w:t>
            </w:r>
            <w:r w:rsidR="0054327E">
              <w:rPr>
                <w:noProof/>
                <w:sz w:val="22"/>
                <w:szCs w:val="22"/>
                <w:lang w:eastAsia="es-ES"/>
              </w:rPr>
              <w:tab/>
            </w:r>
            <w:r w:rsidR="0054327E" w:rsidRPr="00C16C87">
              <w:rPr>
                <w:rStyle w:val="Hipervnculo"/>
                <w:rFonts w:cs="Arial"/>
                <w:b/>
              </w:rPr>
              <w:t>OBJETIVO DEL INFORME</w:t>
            </w:r>
            <w:r w:rsidR="0054327E">
              <w:rPr>
                <w:noProof/>
                <w:webHidden/>
              </w:rPr>
              <w:tab/>
            </w:r>
            <w:r w:rsidR="0054327E">
              <w:rPr>
                <w:noProof/>
                <w:webHidden/>
              </w:rPr>
              <w:fldChar w:fldCharType="begin"/>
            </w:r>
            <w:r w:rsidR="0054327E">
              <w:rPr>
                <w:noProof/>
                <w:webHidden/>
              </w:rPr>
              <w:instrText xml:space="preserve"> PAGEREF _Toc114065686 \h </w:instrText>
            </w:r>
            <w:r w:rsidR="0054327E">
              <w:rPr>
                <w:noProof/>
                <w:webHidden/>
              </w:rPr>
            </w:r>
            <w:r w:rsidR="0054327E">
              <w:rPr>
                <w:noProof/>
                <w:webHidden/>
              </w:rPr>
              <w:fldChar w:fldCharType="separate"/>
            </w:r>
            <w:r w:rsidR="0054327E">
              <w:rPr>
                <w:noProof/>
                <w:webHidden/>
              </w:rPr>
              <w:t>2</w:t>
            </w:r>
            <w:r w:rsidR="0054327E">
              <w:rPr>
                <w:noProof/>
                <w:webHidden/>
              </w:rPr>
              <w:fldChar w:fldCharType="end"/>
            </w:r>
          </w:hyperlink>
        </w:p>
        <w:p w14:paraId="6F9EE3D0" w14:textId="4942CF63" w:rsidR="0054327E" w:rsidRDefault="00B63E31">
          <w:pPr>
            <w:pStyle w:val="TDC1"/>
            <w:rPr>
              <w:noProof/>
              <w:sz w:val="22"/>
              <w:szCs w:val="22"/>
              <w:lang w:eastAsia="es-ES"/>
            </w:rPr>
          </w:pPr>
          <w:hyperlink w:anchor="_Toc114065691" w:history="1">
            <w:r w:rsidR="0054327E" w:rsidRPr="00C16C87">
              <w:rPr>
                <w:rStyle w:val="Hipervnculo"/>
                <w:rFonts w:cs="Arial"/>
                <w:b/>
              </w:rPr>
              <w:t>II.</w:t>
            </w:r>
            <w:r w:rsidR="0054327E">
              <w:rPr>
                <w:noProof/>
                <w:sz w:val="22"/>
                <w:szCs w:val="22"/>
                <w:lang w:eastAsia="es-ES"/>
              </w:rPr>
              <w:tab/>
            </w:r>
            <w:r w:rsidR="0054327E" w:rsidRPr="00C16C87">
              <w:rPr>
                <w:rStyle w:val="Hipervnculo"/>
                <w:rFonts w:cs="Arial"/>
                <w:b/>
              </w:rPr>
              <w:t>ANTECEDENTES</w:t>
            </w:r>
            <w:r w:rsidR="0054327E">
              <w:rPr>
                <w:noProof/>
                <w:webHidden/>
              </w:rPr>
              <w:tab/>
            </w:r>
            <w:r w:rsidR="0054327E">
              <w:rPr>
                <w:noProof/>
                <w:webHidden/>
              </w:rPr>
              <w:fldChar w:fldCharType="begin"/>
            </w:r>
            <w:r w:rsidR="0054327E">
              <w:rPr>
                <w:noProof/>
                <w:webHidden/>
              </w:rPr>
              <w:instrText xml:space="preserve"> PAGEREF _Toc114065691 \h </w:instrText>
            </w:r>
            <w:r w:rsidR="0054327E">
              <w:rPr>
                <w:noProof/>
                <w:webHidden/>
              </w:rPr>
            </w:r>
            <w:r w:rsidR="0054327E">
              <w:rPr>
                <w:noProof/>
                <w:webHidden/>
              </w:rPr>
              <w:fldChar w:fldCharType="separate"/>
            </w:r>
            <w:r w:rsidR="0054327E">
              <w:rPr>
                <w:noProof/>
                <w:webHidden/>
              </w:rPr>
              <w:t>3</w:t>
            </w:r>
            <w:r w:rsidR="0054327E">
              <w:rPr>
                <w:noProof/>
                <w:webHidden/>
              </w:rPr>
              <w:fldChar w:fldCharType="end"/>
            </w:r>
          </w:hyperlink>
        </w:p>
        <w:p w14:paraId="3D96A790" w14:textId="0BE753A5" w:rsidR="0054327E" w:rsidRDefault="00B63E31">
          <w:pPr>
            <w:pStyle w:val="TDC1"/>
            <w:rPr>
              <w:noProof/>
              <w:sz w:val="22"/>
              <w:szCs w:val="22"/>
              <w:lang w:eastAsia="es-ES"/>
            </w:rPr>
          </w:pPr>
          <w:hyperlink w:anchor="_Toc114065692" w:history="1">
            <w:r w:rsidR="0054327E" w:rsidRPr="00C16C87">
              <w:rPr>
                <w:rStyle w:val="Hipervnculo"/>
                <w:rFonts w:cs="Arial"/>
                <w:b/>
              </w:rPr>
              <w:t>III.</w:t>
            </w:r>
            <w:r w:rsidR="0054327E">
              <w:rPr>
                <w:noProof/>
                <w:sz w:val="22"/>
                <w:szCs w:val="22"/>
                <w:lang w:eastAsia="es-ES"/>
              </w:rPr>
              <w:tab/>
            </w:r>
            <w:r w:rsidR="0054327E" w:rsidRPr="00C16C87">
              <w:rPr>
                <w:rStyle w:val="Hipervnculo"/>
                <w:rFonts w:cs="Arial"/>
                <w:b/>
              </w:rPr>
              <w:t>INDICADORES DE DESEMPEÑO, ABRIL – JUNIO 2022.</w:t>
            </w:r>
            <w:r w:rsidR="0054327E">
              <w:rPr>
                <w:noProof/>
                <w:webHidden/>
              </w:rPr>
              <w:tab/>
            </w:r>
            <w:r w:rsidR="0054327E">
              <w:rPr>
                <w:noProof/>
                <w:webHidden/>
              </w:rPr>
              <w:fldChar w:fldCharType="begin"/>
            </w:r>
            <w:r w:rsidR="0054327E">
              <w:rPr>
                <w:noProof/>
                <w:webHidden/>
              </w:rPr>
              <w:instrText xml:space="preserve"> PAGEREF _Toc114065692 \h </w:instrText>
            </w:r>
            <w:r w:rsidR="0054327E">
              <w:rPr>
                <w:noProof/>
                <w:webHidden/>
              </w:rPr>
            </w:r>
            <w:r w:rsidR="0054327E">
              <w:rPr>
                <w:noProof/>
                <w:webHidden/>
              </w:rPr>
              <w:fldChar w:fldCharType="separate"/>
            </w:r>
            <w:r w:rsidR="0054327E">
              <w:rPr>
                <w:noProof/>
                <w:webHidden/>
              </w:rPr>
              <w:t>3</w:t>
            </w:r>
            <w:r w:rsidR="0054327E">
              <w:rPr>
                <w:noProof/>
                <w:webHidden/>
              </w:rPr>
              <w:fldChar w:fldCharType="end"/>
            </w:r>
          </w:hyperlink>
        </w:p>
        <w:p w14:paraId="57A702AC" w14:textId="4C29B354" w:rsidR="0054327E" w:rsidRDefault="00B63E31">
          <w:pPr>
            <w:pStyle w:val="TDC1"/>
            <w:rPr>
              <w:noProof/>
              <w:sz w:val="22"/>
              <w:szCs w:val="22"/>
              <w:lang w:eastAsia="es-ES"/>
            </w:rPr>
          </w:pPr>
          <w:hyperlink w:anchor="_Toc114065693" w:history="1">
            <w:r w:rsidR="0054327E" w:rsidRPr="00C16C87">
              <w:rPr>
                <w:rStyle w:val="Hipervnculo"/>
                <w:rFonts w:cs="Arial"/>
                <w:b/>
              </w:rPr>
              <w:t>a.</w:t>
            </w:r>
            <w:r w:rsidR="0054327E">
              <w:rPr>
                <w:noProof/>
                <w:sz w:val="22"/>
                <w:szCs w:val="22"/>
                <w:lang w:eastAsia="es-ES"/>
              </w:rPr>
              <w:tab/>
            </w:r>
            <w:r w:rsidR="0054327E" w:rsidRPr="00C16C87">
              <w:rPr>
                <w:rStyle w:val="Hipervnculo"/>
                <w:rFonts w:cs="Arial"/>
                <w:b/>
              </w:rPr>
              <w:t>PÉRDIDAS (%), ABRIL – JUNIO 2022.</w:t>
            </w:r>
            <w:r w:rsidR="0054327E">
              <w:rPr>
                <w:noProof/>
                <w:webHidden/>
              </w:rPr>
              <w:tab/>
            </w:r>
            <w:r w:rsidR="0054327E">
              <w:rPr>
                <w:noProof/>
                <w:webHidden/>
              </w:rPr>
              <w:fldChar w:fldCharType="begin"/>
            </w:r>
            <w:r w:rsidR="0054327E">
              <w:rPr>
                <w:noProof/>
                <w:webHidden/>
              </w:rPr>
              <w:instrText xml:space="preserve"> PAGEREF _Toc114065693 \h </w:instrText>
            </w:r>
            <w:r w:rsidR="0054327E">
              <w:rPr>
                <w:noProof/>
                <w:webHidden/>
              </w:rPr>
            </w:r>
            <w:r w:rsidR="0054327E">
              <w:rPr>
                <w:noProof/>
                <w:webHidden/>
              </w:rPr>
              <w:fldChar w:fldCharType="separate"/>
            </w:r>
            <w:r w:rsidR="0054327E">
              <w:rPr>
                <w:noProof/>
                <w:webHidden/>
              </w:rPr>
              <w:t>4</w:t>
            </w:r>
            <w:r w:rsidR="0054327E">
              <w:rPr>
                <w:noProof/>
                <w:webHidden/>
              </w:rPr>
              <w:fldChar w:fldCharType="end"/>
            </w:r>
          </w:hyperlink>
        </w:p>
        <w:p w14:paraId="3D1E65A3" w14:textId="0897A738" w:rsidR="0054327E" w:rsidRDefault="00B63E31">
          <w:pPr>
            <w:pStyle w:val="TDC1"/>
            <w:rPr>
              <w:noProof/>
              <w:sz w:val="22"/>
              <w:szCs w:val="22"/>
              <w:lang w:eastAsia="es-ES"/>
            </w:rPr>
          </w:pPr>
          <w:hyperlink w:anchor="_Toc114065694" w:history="1">
            <w:r w:rsidR="0054327E" w:rsidRPr="00C16C87">
              <w:rPr>
                <w:rStyle w:val="Hipervnculo"/>
                <w:rFonts w:cs="Arial"/>
                <w:b/>
              </w:rPr>
              <w:t>b.</w:t>
            </w:r>
            <w:r w:rsidR="0054327E">
              <w:rPr>
                <w:noProof/>
                <w:sz w:val="22"/>
                <w:szCs w:val="22"/>
                <w:lang w:eastAsia="es-ES"/>
              </w:rPr>
              <w:tab/>
            </w:r>
            <w:r w:rsidR="0054327E" w:rsidRPr="00C16C87">
              <w:rPr>
                <w:rStyle w:val="Hipervnculo"/>
                <w:rFonts w:cs="Arial"/>
                <w:b/>
              </w:rPr>
              <w:t>COBRANZAS (%), ABRIL  – JUNIO 2022.</w:t>
            </w:r>
            <w:r w:rsidR="0054327E">
              <w:rPr>
                <w:noProof/>
                <w:webHidden/>
              </w:rPr>
              <w:tab/>
            </w:r>
            <w:r w:rsidR="0054327E">
              <w:rPr>
                <w:noProof/>
                <w:webHidden/>
              </w:rPr>
              <w:fldChar w:fldCharType="begin"/>
            </w:r>
            <w:r w:rsidR="0054327E">
              <w:rPr>
                <w:noProof/>
                <w:webHidden/>
              </w:rPr>
              <w:instrText xml:space="preserve"> PAGEREF _Toc114065694 \h </w:instrText>
            </w:r>
            <w:r w:rsidR="0054327E">
              <w:rPr>
                <w:noProof/>
                <w:webHidden/>
              </w:rPr>
            </w:r>
            <w:r w:rsidR="0054327E">
              <w:rPr>
                <w:noProof/>
                <w:webHidden/>
              </w:rPr>
              <w:fldChar w:fldCharType="separate"/>
            </w:r>
            <w:r w:rsidR="0054327E">
              <w:rPr>
                <w:noProof/>
                <w:webHidden/>
              </w:rPr>
              <w:t>6</w:t>
            </w:r>
            <w:r w:rsidR="0054327E">
              <w:rPr>
                <w:noProof/>
                <w:webHidden/>
              </w:rPr>
              <w:fldChar w:fldCharType="end"/>
            </w:r>
          </w:hyperlink>
        </w:p>
        <w:p w14:paraId="522E004C" w14:textId="62150B3E" w:rsidR="0054327E" w:rsidRDefault="00B63E31">
          <w:pPr>
            <w:pStyle w:val="TDC1"/>
            <w:rPr>
              <w:noProof/>
              <w:sz w:val="22"/>
              <w:szCs w:val="22"/>
              <w:lang w:eastAsia="es-ES"/>
            </w:rPr>
          </w:pPr>
          <w:hyperlink w:anchor="_Toc114065695" w:history="1">
            <w:r w:rsidR="0054327E" w:rsidRPr="00C16C87">
              <w:rPr>
                <w:rStyle w:val="Hipervnculo"/>
                <w:rFonts w:cs="Arial"/>
                <w:b/>
              </w:rPr>
              <w:t>c.</w:t>
            </w:r>
            <w:r w:rsidR="0054327E">
              <w:rPr>
                <w:noProof/>
                <w:sz w:val="22"/>
                <w:szCs w:val="22"/>
                <w:lang w:eastAsia="es-ES"/>
              </w:rPr>
              <w:tab/>
            </w:r>
            <w:r w:rsidR="0054327E" w:rsidRPr="00C16C87">
              <w:rPr>
                <w:rStyle w:val="Hipervnculo"/>
                <w:rFonts w:cs="Arial"/>
                <w:b/>
              </w:rPr>
              <w:t>ÍNDICE DE ABASTECIMIENTO (%), ABRIL – JUNIO 2022.</w:t>
            </w:r>
            <w:r w:rsidR="0054327E">
              <w:rPr>
                <w:noProof/>
                <w:webHidden/>
              </w:rPr>
              <w:tab/>
            </w:r>
            <w:r w:rsidR="0054327E">
              <w:rPr>
                <w:noProof/>
                <w:webHidden/>
              </w:rPr>
              <w:fldChar w:fldCharType="begin"/>
            </w:r>
            <w:r w:rsidR="0054327E">
              <w:rPr>
                <w:noProof/>
                <w:webHidden/>
              </w:rPr>
              <w:instrText xml:space="preserve"> PAGEREF _Toc114065695 \h </w:instrText>
            </w:r>
            <w:r w:rsidR="0054327E">
              <w:rPr>
                <w:noProof/>
                <w:webHidden/>
              </w:rPr>
            </w:r>
            <w:r w:rsidR="0054327E">
              <w:rPr>
                <w:noProof/>
                <w:webHidden/>
              </w:rPr>
              <w:fldChar w:fldCharType="separate"/>
            </w:r>
            <w:r w:rsidR="0054327E">
              <w:rPr>
                <w:noProof/>
                <w:webHidden/>
              </w:rPr>
              <w:t>8</w:t>
            </w:r>
            <w:r w:rsidR="0054327E">
              <w:rPr>
                <w:noProof/>
                <w:webHidden/>
              </w:rPr>
              <w:fldChar w:fldCharType="end"/>
            </w:r>
          </w:hyperlink>
        </w:p>
        <w:p w14:paraId="49CE3488" w14:textId="5D1220F5" w:rsidR="0054327E" w:rsidRDefault="00B63E31">
          <w:pPr>
            <w:pStyle w:val="TDC1"/>
            <w:rPr>
              <w:noProof/>
              <w:sz w:val="22"/>
              <w:szCs w:val="22"/>
              <w:lang w:eastAsia="es-ES"/>
            </w:rPr>
          </w:pPr>
          <w:hyperlink w:anchor="_Toc114065696" w:history="1">
            <w:r w:rsidR="0054327E" w:rsidRPr="00C16C87">
              <w:rPr>
                <w:rStyle w:val="Hipervnculo"/>
                <w:rFonts w:cs="Arial"/>
                <w:b/>
              </w:rPr>
              <w:t>d.</w:t>
            </w:r>
            <w:r w:rsidR="0054327E">
              <w:rPr>
                <w:noProof/>
                <w:sz w:val="22"/>
                <w:szCs w:val="22"/>
                <w:lang w:eastAsia="es-ES"/>
              </w:rPr>
              <w:tab/>
            </w:r>
            <w:r w:rsidR="0054327E" w:rsidRPr="00C16C87">
              <w:rPr>
                <w:rStyle w:val="Hipervnculo"/>
                <w:rFonts w:cs="Arial"/>
                <w:b/>
              </w:rPr>
              <w:t>RELACIÓN GASTOS OPERATIVOS / INGRESOS (%),   ABRIL – JUNIO 2022.</w:t>
            </w:r>
            <w:r w:rsidR="0054327E">
              <w:rPr>
                <w:noProof/>
                <w:webHidden/>
              </w:rPr>
              <w:tab/>
            </w:r>
            <w:r w:rsidR="0054327E">
              <w:rPr>
                <w:noProof/>
                <w:webHidden/>
              </w:rPr>
              <w:fldChar w:fldCharType="begin"/>
            </w:r>
            <w:r w:rsidR="0054327E">
              <w:rPr>
                <w:noProof/>
                <w:webHidden/>
              </w:rPr>
              <w:instrText xml:space="preserve"> PAGEREF _Toc114065696 \h </w:instrText>
            </w:r>
            <w:r w:rsidR="0054327E">
              <w:rPr>
                <w:noProof/>
                <w:webHidden/>
              </w:rPr>
            </w:r>
            <w:r w:rsidR="0054327E">
              <w:rPr>
                <w:noProof/>
                <w:webHidden/>
              </w:rPr>
              <w:fldChar w:fldCharType="separate"/>
            </w:r>
            <w:r w:rsidR="0054327E">
              <w:rPr>
                <w:noProof/>
                <w:webHidden/>
              </w:rPr>
              <w:t>9</w:t>
            </w:r>
            <w:r w:rsidR="0054327E">
              <w:rPr>
                <w:noProof/>
                <w:webHidden/>
              </w:rPr>
              <w:fldChar w:fldCharType="end"/>
            </w:r>
          </w:hyperlink>
        </w:p>
        <w:p w14:paraId="2807BC4A" w14:textId="3F4D0333" w:rsidR="00162EB6" w:rsidRPr="00C11283" w:rsidRDefault="00513D82" w:rsidP="008B564D">
          <w:pPr>
            <w:spacing w:line="480" w:lineRule="auto"/>
            <w:rPr>
              <w:rFonts w:ascii="Arial Narrow" w:hAnsi="Arial Narrow" w:cs="Arial"/>
              <w:sz w:val="24"/>
              <w:szCs w:val="24"/>
            </w:rPr>
          </w:pPr>
          <w:r w:rsidRPr="00C11283">
            <w:rPr>
              <w:rFonts w:ascii="Arial Narrow" w:hAnsi="Arial Narrow" w:cs="Arial"/>
              <w:b/>
              <w:bCs/>
              <w:sz w:val="24"/>
              <w:szCs w:val="24"/>
            </w:rPr>
            <w:fldChar w:fldCharType="end"/>
          </w:r>
        </w:p>
      </w:sdtContent>
    </w:sdt>
    <w:p w14:paraId="4BCF396D" w14:textId="77777777" w:rsidR="0009614C" w:rsidRPr="00C11283" w:rsidRDefault="0009614C" w:rsidP="00CB075E">
      <w:pPr>
        <w:spacing w:line="276" w:lineRule="auto"/>
        <w:rPr>
          <w:rFonts w:ascii="Arial Narrow" w:hAnsi="Arial Narrow" w:cs="Arial"/>
          <w:sz w:val="24"/>
          <w:szCs w:val="24"/>
        </w:rPr>
      </w:pPr>
    </w:p>
    <w:p w14:paraId="67DADC91" w14:textId="4993DE0A" w:rsidR="0009614C" w:rsidRDefault="0009614C" w:rsidP="00CB075E">
      <w:pPr>
        <w:spacing w:line="276" w:lineRule="auto"/>
        <w:rPr>
          <w:rFonts w:ascii="Arial Narrow" w:hAnsi="Arial Narrow" w:cs="Arial"/>
          <w:sz w:val="24"/>
          <w:szCs w:val="24"/>
        </w:rPr>
      </w:pPr>
    </w:p>
    <w:p w14:paraId="48BA0970" w14:textId="2408E56E" w:rsidR="008B564D" w:rsidRDefault="008B564D" w:rsidP="00CB075E">
      <w:pPr>
        <w:spacing w:line="276" w:lineRule="auto"/>
        <w:rPr>
          <w:rFonts w:ascii="Arial Narrow" w:hAnsi="Arial Narrow" w:cs="Arial"/>
          <w:sz w:val="24"/>
          <w:szCs w:val="24"/>
        </w:rPr>
      </w:pPr>
    </w:p>
    <w:p w14:paraId="04567B57" w14:textId="30102825" w:rsidR="008B564D" w:rsidRDefault="008B564D" w:rsidP="00CB075E">
      <w:pPr>
        <w:spacing w:line="276" w:lineRule="auto"/>
        <w:rPr>
          <w:rFonts w:ascii="Arial Narrow" w:hAnsi="Arial Narrow" w:cs="Arial"/>
          <w:sz w:val="24"/>
          <w:szCs w:val="24"/>
        </w:rPr>
      </w:pPr>
    </w:p>
    <w:p w14:paraId="76E0E4E3" w14:textId="0A247C83" w:rsidR="00D9508B" w:rsidRDefault="00D9508B" w:rsidP="00CB075E">
      <w:pPr>
        <w:spacing w:line="276" w:lineRule="auto"/>
        <w:rPr>
          <w:rFonts w:ascii="Arial Narrow" w:hAnsi="Arial Narrow" w:cs="Arial"/>
          <w:sz w:val="24"/>
          <w:szCs w:val="24"/>
        </w:rPr>
      </w:pPr>
    </w:p>
    <w:p w14:paraId="34C9730D" w14:textId="100C23CA" w:rsidR="00D9508B" w:rsidRDefault="00D9508B" w:rsidP="00CB075E">
      <w:pPr>
        <w:spacing w:line="276" w:lineRule="auto"/>
        <w:rPr>
          <w:rFonts w:ascii="Arial Narrow" w:hAnsi="Arial Narrow" w:cs="Arial"/>
          <w:sz w:val="24"/>
          <w:szCs w:val="24"/>
        </w:rPr>
      </w:pPr>
    </w:p>
    <w:p w14:paraId="3CC5AF56" w14:textId="06E43D81" w:rsidR="00A01FF3" w:rsidRDefault="00A01FF3" w:rsidP="00CB075E">
      <w:pPr>
        <w:spacing w:line="276" w:lineRule="auto"/>
        <w:rPr>
          <w:rFonts w:ascii="Arial Narrow" w:hAnsi="Arial Narrow" w:cs="Arial"/>
          <w:sz w:val="24"/>
          <w:szCs w:val="24"/>
        </w:rPr>
      </w:pPr>
    </w:p>
    <w:p w14:paraId="7D18275F" w14:textId="77777777" w:rsidR="00A01FF3" w:rsidRDefault="00A01FF3" w:rsidP="00CB075E">
      <w:pPr>
        <w:spacing w:line="276" w:lineRule="auto"/>
        <w:rPr>
          <w:rFonts w:ascii="Arial Narrow" w:hAnsi="Arial Narrow" w:cs="Arial"/>
          <w:sz w:val="24"/>
          <w:szCs w:val="24"/>
        </w:rPr>
      </w:pPr>
    </w:p>
    <w:p w14:paraId="4B27738F" w14:textId="43891695" w:rsidR="008B564D" w:rsidRDefault="008B564D" w:rsidP="00CB075E">
      <w:pPr>
        <w:spacing w:line="276" w:lineRule="auto"/>
        <w:rPr>
          <w:rFonts w:ascii="Arial Narrow" w:hAnsi="Arial Narrow" w:cs="Arial"/>
          <w:sz w:val="24"/>
          <w:szCs w:val="24"/>
        </w:rPr>
      </w:pPr>
    </w:p>
    <w:p w14:paraId="7D341F9A" w14:textId="53AD501A" w:rsidR="008B564D" w:rsidRDefault="008B564D" w:rsidP="00CB075E">
      <w:pPr>
        <w:spacing w:line="276" w:lineRule="auto"/>
        <w:rPr>
          <w:rFonts w:ascii="Arial Narrow" w:hAnsi="Arial Narrow" w:cs="Arial"/>
          <w:sz w:val="24"/>
          <w:szCs w:val="24"/>
        </w:rPr>
      </w:pPr>
    </w:p>
    <w:p w14:paraId="3AE6EAB5" w14:textId="1B8AD8CA" w:rsidR="008B564D" w:rsidRDefault="008B564D" w:rsidP="00CB075E">
      <w:pPr>
        <w:spacing w:line="276" w:lineRule="auto"/>
        <w:rPr>
          <w:rFonts w:ascii="Arial Narrow" w:hAnsi="Arial Narrow" w:cs="Arial"/>
          <w:sz w:val="24"/>
          <w:szCs w:val="24"/>
        </w:rPr>
      </w:pPr>
    </w:p>
    <w:p w14:paraId="38AB7CD9" w14:textId="2DF06834" w:rsidR="0063188A" w:rsidRDefault="0063188A" w:rsidP="00CB075E">
      <w:pPr>
        <w:spacing w:line="276" w:lineRule="auto"/>
        <w:rPr>
          <w:rFonts w:ascii="Arial Narrow" w:hAnsi="Arial Narrow" w:cs="Arial"/>
          <w:sz w:val="24"/>
          <w:szCs w:val="24"/>
        </w:rPr>
      </w:pPr>
    </w:p>
    <w:p w14:paraId="7ADA67B5" w14:textId="3EFEE20B" w:rsidR="0063188A" w:rsidRDefault="0063188A" w:rsidP="00CB075E">
      <w:pPr>
        <w:spacing w:line="276" w:lineRule="auto"/>
        <w:rPr>
          <w:rFonts w:ascii="Arial Narrow" w:hAnsi="Arial Narrow" w:cs="Arial"/>
          <w:sz w:val="24"/>
          <w:szCs w:val="24"/>
        </w:rPr>
      </w:pPr>
    </w:p>
    <w:p w14:paraId="5332968A" w14:textId="09A66C25" w:rsidR="0063188A" w:rsidRDefault="0063188A" w:rsidP="00CB075E">
      <w:pPr>
        <w:spacing w:line="276" w:lineRule="auto"/>
        <w:rPr>
          <w:rFonts w:ascii="Arial Narrow" w:hAnsi="Arial Narrow" w:cs="Arial"/>
          <w:sz w:val="24"/>
          <w:szCs w:val="24"/>
        </w:rPr>
      </w:pPr>
    </w:p>
    <w:p w14:paraId="508F6FD4" w14:textId="636B4B1A" w:rsidR="0063188A" w:rsidRDefault="0063188A" w:rsidP="00CB075E">
      <w:pPr>
        <w:spacing w:line="276" w:lineRule="auto"/>
        <w:rPr>
          <w:rFonts w:ascii="Arial Narrow" w:hAnsi="Arial Narrow" w:cs="Arial"/>
          <w:sz w:val="24"/>
          <w:szCs w:val="24"/>
        </w:rPr>
      </w:pPr>
    </w:p>
    <w:p w14:paraId="7F6F2F0C" w14:textId="785AE325" w:rsidR="00A737A5" w:rsidRPr="008B564D" w:rsidRDefault="001C1E8F" w:rsidP="00A737A5">
      <w:pPr>
        <w:pStyle w:val="Ttulo1"/>
        <w:numPr>
          <w:ilvl w:val="0"/>
          <w:numId w:val="1"/>
        </w:numPr>
        <w:jc w:val="left"/>
        <w:rPr>
          <w:rFonts w:ascii="Arial Narrow" w:hAnsi="Arial Narrow" w:cs="Arial"/>
          <w:b/>
          <w:sz w:val="26"/>
          <w:szCs w:val="26"/>
        </w:rPr>
      </w:pPr>
      <w:bookmarkStart w:id="2" w:name="_Toc51074742"/>
      <w:bookmarkStart w:id="3" w:name="_Toc114065686"/>
      <w:r>
        <w:rPr>
          <w:rFonts w:ascii="Arial Narrow" w:hAnsi="Arial Narrow" w:cs="Arial"/>
          <w:b/>
          <w:sz w:val="26"/>
          <w:szCs w:val="26"/>
        </w:rPr>
        <w:t>OBJETIVO DEL INFORME</w:t>
      </w:r>
      <w:bookmarkEnd w:id="2"/>
      <w:bookmarkEnd w:id="3"/>
    </w:p>
    <w:p w14:paraId="0E2584C3" w14:textId="77777777" w:rsidR="00B03FBF" w:rsidRDefault="00B03FBF" w:rsidP="00B03FBF">
      <w:pPr>
        <w:jc w:val="both"/>
        <w:rPr>
          <w:rFonts w:ascii="Arial Narrow" w:hAnsi="Arial Narrow" w:cs="Arial"/>
          <w:sz w:val="26"/>
          <w:szCs w:val="26"/>
        </w:rPr>
      </w:pPr>
    </w:p>
    <w:p w14:paraId="7911E9C0" w14:textId="3DC128E7" w:rsidR="00B55410" w:rsidRDefault="00B55410" w:rsidP="00B55410">
      <w:pPr>
        <w:jc w:val="both"/>
        <w:outlineLvl w:val="0"/>
        <w:rPr>
          <w:rFonts w:ascii="Arial Narrow" w:hAnsi="Arial Narrow" w:cs="Arial"/>
          <w:sz w:val="26"/>
          <w:szCs w:val="26"/>
        </w:rPr>
      </w:pPr>
      <w:bookmarkStart w:id="4" w:name="_Toc87018552"/>
      <w:bookmarkStart w:id="5" w:name="_Toc114065687"/>
      <w:r w:rsidRPr="001C1E8F">
        <w:rPr>
          <w:rFonts w:ascii="Arial Narrow" w:hAnsi="Arial Narrow" w:cs="Arial"/>
          <w:sz w:val="26"/>
          <w:szCs w:val="26"/>
        </w:rPr>
        <w:t>El presente informe</w:t>
      </w:r>
      <w:r>
        <w:rPr>
          <w:rFonts w:ascii="Arial Narrow" w:hAnsi="Arial Narrow" w:cs="Arial"/>
          <w:sz w:val="26"/>
          <w:szCs w:val="26"/>
        </w:rPr>
        <w:t>, que tiene carácter trimestral,</w:t>
      </w:r>
      <w:r w:rsidRPr="001C1E8F">
        <w:rPr>
          <w:rFonts w:ascii="Arial Narrow" w:hAnsi="Arial Narrow" w:cs="Arial"/>
          <w:sz w:val="26"/>
          <w:szCs w:val="26"/>
        </w:rPr>
        <w:t xml:space="preserve"> </w:t>
      </w:r>
      <w:r>
        <w:rPr>
          <w:rFonts w:ascii="Arial Narrow" w:hAnsi="Arial Narrow" w:cs="Arial"/>
          <w:sz w:val="26"/>
          <w:szCs w:val="26"/>
        </w:rPr>
        <w:t xml:space="preserve">permite poner en conocimiento público el comportamiento de los indicadores de desempeño definidos en el </w:t>
      </w:r>
      <w:r w:rsidRPr="002E0D0D">
        <w:rPr>
          <w:rFonts w:ascii="Arial Narrow" w:hAnsi="Arial Narrow" w:cs="Arial"/>
          <w:sz w:val="26"/>
          <w:szCs w:val="26"/>
        </w:rPr>
        <w:t>PACTO NACIONAL PARA LA REFORMA DEL SECTOR ELÉCTRICO EN LA REPÚBLICA DOMINICANA</w:t>
      </w:r>
      <w:r>
        <w:rPr>
          <w:rFonts w:ascii="Arial Narrow" w:hAnsi="Arial Narrow" w:cs="Arial"/>
          <w:sz w:val="26"/>
          <w:szCs w:val="26"/>
        </w:rPr>
        <w:t xml:space="preserve"> (en lo adelanto, Pact</w:t>
      </w:r>
      <w:r w:rsidR="00B71001">
        <w:rPr>
          <w:rFonts w:ascii="Arial Narrow" w:hAnsi="Arial Narrow" w:cs="Arial"/>
          <w:sz w:val="26"/>
          <w:szCs w:val="26"/>
        </w:rPr>
        <w:t>o Eléctrico);</w:t>
      </w:r>
      <w:r>
        <w:rPr>
          <w:rFonts w:ascii="Arial Narrow" w:hAnsi="Arial Narrow" w:cs="Arial"/>
          <w:sz w:val="26"/>
          <w:szCs w:val="26"/>
        </w:rPr>
        <w:t xml:space="preserve"> y compararlos con las metas establecidas para la </w:t>
      </w:r>
      <w:r w:rsidR="00B71001">
        <w:rPr>
          <w:rFonts w:ascii="Arial Narrow" w:hAnsi="Arial Narrow" w:cs="Arial"/>
          <w:sz w:val="26"/>
          <w:szCs w:val="26"/>
        </w:rPr>
        <w:t>e</w:t>
      </w:r>
      <w:r>
        <w:rPr>
          <w:rFonts w:ascii="Arial Narrow" w:hAnsi="Arial Narrow" w:cs="Arial"/>
          <w:sz w:val="26"/>
          <w:szCs w:val="26"/>
        </w:rPr>
        <w:t>mpresa EDENORTE DOMINICANA S.A</w:t>
      </w:r>
      <w:r w:rsidR="00B71001">
        <w:rPr>
          <w:rFonts w:ascii="Arial Narrow" w:hAnsi="Arial Narrow" w:cs="Arial"/>
          <w:sz w:val="26"/>
          <w:szCs w:val="26"/>
        </w:rPr>
        <w:t>. (</w:t>
      </w:r>
      <w:r>
        <w:rPr>
          <w:rFonts w:ascii="Arial Narrow" w:hAnsi="Arial Narrow" w:cs="Arial"/>
          <w:sz w:val="26"/>
          <w:szCs w:val="26"/>
        </w:rPr>
        <w:t>en lo adelante EDENORTE), Edesur Dominicana, S.A. (en lo adelante EDESUR) y Empresa Distribuidora de Electricidad del Este, S.A. (en lo adelante EDEESTE). Los indicadores que serán evaluados son los siguientes:</w:t>
      </w:r>
      <w:bookmarkEnd w:id="4"/>
      <w:bookmarkEnd w:id="5"/>
    </w:p>
    <w:p w14:paraId="3F41585F" w14:textId="77777777" w:rsidR="00B55410" w:rsidRDefault="00B55410" w:rsidP="00B55410">
      <w:pPr>
        <w:jc w:val="both"/>
        <w:outlineLvl w:val="0"/>
        <w:rPr>
          <w:rFonts w:ascii="Arial Narrow" w:hAnsi="Arial Narrow" w:cs="Arial"/>
          <w:sz w:val="26"/>
          <w:szCs w:val="26"/>
        </w:rPr>
      </w:pPr>
    </w:p>
    <w:p w14:paraId="48E80476" w14:textId="77777777" w:rsidR="00B55410" w:rsidRDefault="00B55410" w:rsidP="00B55410">
      <w:pPr>
        <w:pStyle w:val="Prrafodelista"/>
        <w:numPr>
          <w:ilvl w:val="0"/>
          <w:numId w:val="17"/>
        </w:numPr>
        <w:jc w:val="both"/>
        <w:outlineLvl w:val="0"/>
        <w:rPr>
          <w:rFonts w:ascii="Arial Narrow" w:hAnsi="Arial Narrow" w:cs="Arial"/>
          <w:sz w:val="26"/>
          <w:szCs w:val="26"/>
        </w:rPr>
      </w:pPr>
      <w:bookmarkStart w:id="6" w:name="_Toc87018553"/>
      <w:bookmarkStart w:id="7" w:name="_Toc114065688"/>
      <w:r>
        <w:rPr>
          <w:rFonts w:ascii="Arial Narrow" w:hAnsi="Arial Narrow" w:cs="Arial"/>
          <w:sz w:val="26"/>
          <w:szCs w:val="26"/>
        </w:rPr>
        <w:t xml:space="preserve">Pérdidas (%), que son </w:t>
      </w:r>
      <w:r w:rsidRPr="00A8617D">
        <w:rPr>
          <w:rFonts w:ascii="Arial Narrow" w:hAnsi="Arial Narrow" w:cs="Arial"/>
          <w:sz w:val="26"/>
          <w:szCs w:val="26"/>
        </w:rPr>
        <w:t>las pérdidas totales de energía, medidas en porcentaje</w:t>
      </w:r>
      <w:r>
        <w:rPr>
          <w:rFonts w:ascii="Arial Narrow" w:hAnsi="Arial Narrow" w:cs="Arial"/>
          <w:sz w:val="26"/>
          <w:szCs w:val="26"/>
        </w:rPr>
        <w:t>;</w:t>
      </w:r>
      <w:bookmarkStart w:id="8" w:name="_Hlk521576604"/>
      <w:bookmarkEnd w:id="6"/>
      <w:bookmarkEnd w:id="7"/>
    </w:p>
    <w:p w14:paraId="07FFF571" w14:textId="77777777" w:rsidR="00B55410" w:rsidRDefault="00B55410" w:rsidP="00B55410">
      <w:pPr>
        <w:pStyle w:val="Prrafodelista"/>
        <w:numPr>
          <w:ilvl w:val="0"/>
          <w:numId w:val="17"/>
        </w:numPr>
        <w:jc w:val="both"/>
        <w:outlineLvl w:val="0"/>
        <w:rPr>
          <w:rFonts w:ascii="Arial Narrow" w:hAnsi="Arial Narrow" w:cs="Arial"/>
          <w:sz w:val="26"/>
          <w:szCs w:val="26"/>
        </w:rPr>
      </w:pPr>
      <w:bookmarkStart w:id="9" w:name="_Toc87018554"/>
      <w:bookmarkStart w:id="10" w:name="_Toc114065689"/>
      <w:r w:rsidRPr="00A8617D">
        <w:rPr>
          <w:rFonts w:ascii="Arial Narrow" w:hAnsi="Arial Narrow" w:cs="Arial"/>
          <w:sz w:val="26"/>
          <w:szCs w:val="26"/>
        </w:rPr>
        <w:t>Cobranzas (%), que es el total de cobranzas por conceptos de cargo fijo, energía, potencia y cualquier otro cargo asociado a la entrega del servicio</w:t>
      </w:r>
      <w:r>
        <w:rPr>
          <w:rFonts w:ascii="Arial Narrow" w:hAnsi="Arial Narrow" w:cs="Arial"/>
          <w:sz w:val="26"/>
          <w:szCs w:val="26"/>
        </w:rPr>
        <w:t xml:space="preserve"> (excepto cobros por fianza</w:t>
      </w:r>
      <w:r w:rsidRPr="00A8617D">
        <w:rPr>
          <w:rFonts w:ascii="Arial Narrow" w:hAnsi="Arial Narrow" w:cs="Arial"/>
          <w:sz w:val="26"/>
          <w:szCs w:val="26"/>
        </w:rPr>
        <w:t xml:space="preserve"> y </w:t>
      </w:r>
      <w:r>
        <w:rPr>
          <w:rFonts w:ascii="Arial Narrow" w:hAnsi="Arial Narrow" w:cs="Arial"/>
          <w:sz w:val="26"/>
          <w:szCs w:val="26"/>
        </w:rPr>
        <w:t xml:space="preserve">por </w:t>
      </w:r>
      <w:r w:rsidRPr="00A8617D">
        <w:rPr>
          <w:rFonts w:ascii="Arial Narrow" w:hAnsi="Arial Narrow" w:cs="Arial"/>
          <w:sz w:val="26"/>
          <w:szCs w:val="26"/>
        </w:rPr>
        <w:t>reconexión del servicio</w:t>
      </w:r>
      <w:r>
        <w:rPr>
          <w:rFonts w:ascii="Arial Narrow" w:hAnsi="Arial Narrow" w:cs="Arial"/>
          <w:sz w:val="26"/>
          <w:szCs w:val="26"/>
        </w:rPr>
        <w:t>)</w:t>
      </w:r>
      <w:r w:rsidRPr="00A8617D">
        <w:rPr>
          <w:rFonts w:ascii="Arial Narrow" w:hAnsi="Arial Narrow" w:cs="Arial"/>
          <w:sz w:val="26"/>
          <w:szCs w:val="26"/>
        </w:rPr>
        <w:t>, medido en porcentaje</w:t>
      </w:r>
      <w:r>
        <w:rPr>
          <w:rFonts w:ascii="Arial Narrow" w:hAnsi="Arial Narrow" w:cs="Arial"/>
          <w:sz w:val="26"/>
          <w:szCs w:val="26"/>
        </w:rPr>
        <w:t>;</w:t>
      </w:r>
      <w:bookmarkEnd w:id="9"/>
      <w:bookmarkEnd w:id="10"/>
    </w:p>
    <w:p w14:paraId="0177A9F9" w14:textId="77777777" w:rsidR="00B55410" w:rsidRPr="004C308E" w:rsidRDefault="00B55410" w:rsidP="00B55410">
      <w:pPr>
        <w:pStyle w:val="Prrafodelista"/>
        <w:numPr>
          <w:ilvl w:val="0"/>
          <w:numId w:val="17"/>
        </w:numPr>
        <w:jc w:val="both"/>
        <w:outlineLvl w:val="0"/>
        <w:rPr>
          <w:rFonts w:ascii="Arial Narrow" w:hAnsi="Arial Narrow" w:cs="Arial"/>
          <w:sz w:val="26"/>
          <w:szCs w:val="26"/>
        </w:rPr>
      </w:pPr>
      <w:bookmarkStart w:id="11" w:name="_Toc87018555"/>
      <w:bookmarkStart w:id="12" w:name="_Toc114065690"/>
      <w:r w:rsidRPr="004C308E">
        <w:rPr>
          <w:rFonts w:ascii="Arial Narrow" w:hAnsi="Arial Narrow" w:cs="Arial"/>
          <w:sz w:val="26"/>
          <w:szCs w:val="26"/>
        </w:rPr>
        <w:t xml:space="preserve">Índice de abastecimiento, </w:t>
      </w:r>
      <w:bookmarkEnd w:id="8"/>
      <w:r w:rsidRPr="004C308E">
        <w:rPr>
          <w:rFonts w:ascii="Arial Narrow" w:hAnsi="Arial Narrow" w:cs="Arial"/>
          <w:sz w:val="26"/>
          <w:szCs w:val="26"/>
        </w:rPr>
        <w:t>se refiere al nivel de abastecimiento de las Empresas Distribuidoras de Electricidad estatales, medido en porcentaje; y,</w:t>
      </w:r>
      <w:bookmarkEnd w:id="11"/>
      <w:bookmarkEnd w:id="12"/>
      <w:r w:rsidRPr="004C308E">
        <w:rPr>
          <w:rFonts w:ascii="Arial Narrow" w:hAnsi="Arial Narrow" w:cs="Arial"/>
          <w:sz w:val="26"/>
          <w:szCs w:val="26"/>
        </w:rPr>
        <w:t xml:space="preserve"> </w:t>
      </w:r>
    </w:p>
    <w:p w14:paraId="66C07897" w14:textId="77777777" w:rsidR="00B55410" w:rsidRPr="004C308E" w:rsidRDefault="00B55410" w:rsidP="00B55410">
      <w:pPr>
        <w:pStyle w:val="Prrafodelista"/>
        <w:numPr>
          <w:ilvl w:val="0"/>
          <w:numId w:val="17"/>
        </w:numPr>
        <w:jc w:val="both"/>
        <w:rPr>
          <w:rFonts w:ascii="Arial Narrow" w:hAnsi="Arial Narrow" w:cs="Arial"/>
          <w:sz w:val="26"/>
          <w:szCs w:val="26"/>
        </w:rPr>
      </w:pPr>
      <w:r w:rsidRPr="004C308E">
        <w:rPr>
          <w:rFonts w:ascii="Arial Narrow" w:hAnsi="Arial Narrow" w:cs="Arial"/>
          <w:sz w:val="26"/>
          <w:szCs w:val="26"/>
        </w:rPr>
        <w:t>Relación Gastos Operativos / Ingresos,</w:t>
      </w:r>
      <w:r>
        <w:rPr>
          <w:rFonts w:ascii="Arial Narrow" w:hAnsi="Arial Narrow" w:cs="Arial"/>
          <w:sz w:val="26"/>
          <w:szCs w:val="26"/>
        </w:rPr>
        <w:t xml:space="preserve"> que e</w:t>
      </w:r>
      <w:r w:rsidRPr="004C308E">
        <w:rPr>
          <w:rFonts w:ascii="Arial Narrow" w:hAnsi="Arial Narrow" w:cs="Arial"/>
          <w:sz w:val="26"/>
          <w:szCs w:val="26"/>
        </w:rPr>
        <w:t xml:space="preserve">s la proporción de los gastos operativos de las Empresas Distribuidoras de Electricidad respecto a los Ingresos Totales, medido en porcentaje. </w:t>
      </w:r>
    </w:p>
    <w:p w14:paraId="00DF2F79" w14:textId="77777777" w:rsidR="00B55410" w:rsidRPr="00A8617D" w:rsidRDefault="00B55410" w:rsidP="00B55410">
      <w:pPr>
        <w:pStyle w:val="Prrafodelista"/>
        <w:jc w:val="both"/>
        <w:outlineLvl w:val="0"/>
        <w:rPr>
          <w:rFonts w:ascii="Arial Narrow" w:hAnsi="Arial Narrow" w:cs="Arial"/>
          <w:sz w:val="26"/>
          <w:szCs w:val="26"/>
        </w:rPr>
      </w:pPr>
    </w:p>
    <w:p w14:paraId="0D2CE224" w14:textId="77777777" w:rsidR="00B55410" w:rsidRDefault="00B55410" w:rsidP="00B55410">
      <w:pPr>
        <w:jc w:val="both"/>
        <w:rPr>
          <w:rFonts w:ascii="Arial Narrow" w:hAnsi="Arial Narrow" w:cs="Arial"/>
          <w:sz w:val="26"/>
          <w:szCs w:val="26"/>
        </w:rPr>
      </w:pPr>
      <w:r>
        <w:rPr>
          <w:rFonts w:ascii="Arial Narrow" w:hAnsi="Arial Narrow" w:cs="Arial"/>
          <w:sz w:val="26"/>
          <w:szCs w:val="26"/>
        </w:rPr>
        <w:t>L</w:t>
      </w:r>
      <w:r w:rsidRPr="00A8617D">
        <w:rPr>
          <w:rFonts w:ascii="Arial Narrow" w:hAnsi="Arial Narrow" w:cs="Arial"/>
          <w:sz w:val="26"/>
          <w:szCs w:val="26"/>
        </w:rPr>
        <w:t xml:space="preserve">a metodología de medición </w:t>
      </w:r>
      <w:r>
        <w:rPr>
          <w:rFonts w:ascii="Arial Narrow" w:hAnsi="Arial Narrow" w:cs="Arial"/>
          <w:sz w:val="26"/>
          <w:szCs w:val="26"/>
        </w:rPr>
        <w:t xml:space="preserve">de estos </w:t>
      </w:r>
      <w:r w:rsidRPr="00A8617D">
        <w:rPr>
          <w:rFonts w:ascii="Arial Narrow" w:hAnsi="Arial Narrow" w:cs="Arial"/>
          <w:sz w:val="26"/>
          <w:szCs w:val="26"/>
        </w:rPr>
        <w:t>indicadores</w:t>
      </w:r>
      <w:r>
        <w:rPr>
          <w:rFonts w:ascii="Arial Narrow" w:hAnsi="Arial Narrow" w:cs="Arial"/>
          <w:sz w:val="26"/>
          <w:szCs w:val="26"/>
        </w:rPr>
        <w:t xml:space="preserve"> de desempeño </w:t>
      </w:r>
      <w:r w:rsidRPr="00A8617D">
        <w:rPr>
          <w:rFonts w:ascii="Arial Narrow" w:hAnsi="Arial Narrow" w:cs="Arial"/>
          <w:sz w:val="26"/>
          <w:szCs w:val="26"/>
        </w:rPr>
        <w:t>y</w:t>
      </w:r>
      <w:r>
        <w:rPr>
          <w:rFonts w:ascii="Arial Narrow" w:hAnsi="Arial Narrow" w:cs="Arial"/>
          <w:sz w:val="26"/>
          <w:szCs w:val="26"/>
        </w:rPr>
        <w:t xml:space="preserve"> la</w:t>
      </w:r>
      <w:r w:rsidRPr="00A8617D">
        <w:rPr>
          <w:rFonts w:ascii="Arial Narrow" w:hAnsi="Arial Narrow" w:cs="Arial"/>
          <w:sz w:val="26"/>
          <w:szCs w:val="26"/>
        </w:rPr>
        <w:t xml:space="preserve"> fijación de</w:t>
      </w:r>
      <w:r>
        <w:rPr>
          <w:rFonts w:ascii="Arial Narrow" w:hAnsi="Arial Narrow" w:cs="Arial"/>
          <w:sz w:val="26"/>
          <w:szCs w:val="26"/>
        </w:rPr>
        <w:t xml:space="preserve"> la</w:t>
      </w:r>
      <w:r w:rsidRPr="00A8617D">
        <w:rPr>
          <w:rFonts w:ascii="Arial Narrow" w:hAnsi="Arial Narrow" w:cs="Arial"/>
          <w:sz w:val="26"/>
          <w:szCs w:val="26"/>
        </w:rPr>
        <w:t xml:space="preserve"> línea base </w:t>
      </w:r>
      <w:r>
        <w:rPr>
          <w:rFonts w:ascii="Arial Narrow" w:hAnsi="Arial Narrow" w:cs="Arial"/>
          <w:sz w:val="26"/>
          <w:szCs w:val="26"/>
        </w:rPr>
        <w:t xml:space="preserve">están definidos en las Resoluciones SIE-061-2021-MEMI y SIE-070-2021-MEMI. </w:t>
      </w:r>
    </w:p>
    <w:p w14:paraId="7412B70D" w14:textId="77777777" w:rsidR="001C1E8F" w:rsidRPr="001C1E8F" w:rsidRDefault="001C1E8F" w:rsidP="001C1E8F">
      <w:pPr>
        <w:spacing w:line="276" w:lineRule="auto"/>
        <w:jc w:val="both"/>
        <w:rPr>
          <w:rFonts w:ascii="Segoe UI Light" w:hAnsi="Segoe UI Light" w:cs="Segoe UI Light"/>
          <w:sz w:val="24"/>
          <w:szCs w:val="24"/>
        </w:rPr>
      </w:pPr>
    </w:p>
    <w:p w14:paraId="70DF1E70" w14:textId="6DB18ED4" w:rsidR="00632F4E" w:rsidRDefault="00632F4E" w:rsidP="00C95B42">
      <w:pPr>
        <w:pStyle w:val="Ttulo1"/>
        <w:numPr>
          <w:ilvl w:val="0"/>
          <w:numId w:val="1"/>
        </w:numPr>
        <w:jc w:val="left"/>
        <w:rPr>
          <w:rFonts w:ascii="Arial Narrow" w:hAnsi="Arial Narrow" w:cs="Arial"/>
          <w:b/>
          <w:sz w:val="26"/>
          <w:szCs w:val="26"/>
        </w:rPr>
      </w:pPr>
      <w:bookmarkStart w:id="13" w:name="_Toc114065691"/>
      <w:r w:rsidRPr="008B564D">
        <w:rPr>
          <w:rFonts w:ascii="Arial Narrow" w:hAnsi="Arial Narrow" w:cs="Arial"/>
          <w:b/>
          <w:sz w:val="26"/>
          <w:szCs w:val="26"/>
        </w:rPr>
        <w:t>ANTECEDENTE</w:t>
      </w:r>
      <w:r w:rsidR="00490010">
        <w:rPr>
          <w:rFonts w:ascii="Arial Narrow" w:hAnsi="Arial Narrow" w:cs="Arial"/>
          <w:b/>
          <w:sz w:val="26"/>
          <w:szCs w:val="26"/>
        </w:rPr>
        <w:t>S</w:t>
      </w:r>
      <w:bookmarkEnd w:id="13"/>
    </w:p>
    <w:p w14:paraId="1B961F75" w14:textId="7AD8FB9D" w:rsidR="001C1E8F" w:rsidRDefault="001C1E8F" w:rsidP="002E0D0D">
      <w:pPr>
        <w:spacing w:line="276" w:lineRule="auto"/>
        <w:jc w:val="both"/>
        <w:rPr>
          <w:rFonts w:ascii="Segoe UI Light" w:hAnsi="Segoe UI Light" w:cs="Segoe UI Light"/>
          <w:b/>
          <w:sz w:val="24"/>
          <w:szCs w:val="24"/>
        </w:rPr>
      </w:pPr>
    </w:p>
    <w:p w14:paraId="5565CFAB" w14:textId="77777777" w:rsidR="00B55410" w:rsidRPr="00ED25FE" w:rsidRDefault="00B55410" w:rsidP="00B55410">
      <w:pPr>
        <w:pStyle w:val="Default"/>
        <w:jc w:val="both"/>
        <w:rPr>
          <w:rFonts w:ascii="Arial Narrow" w:hAnsi="Arial Narrow" w:cs="Arial"/>
          <w:sz w:val="26"/>
          <w:szCs w:val="26"/>
        </w:rPr>
      </w:pPr>
      <w:r w:rsidRPr="00ED25FE">
        <w:rPr>
          <w:rFonts w:ascii="Arial Narrow" w:hAnsi="Arial Narrow" w:cs="Arial"/>
          <w:sz w:val="26"/>
          <w:szCs w:val="26"/>
        </w:rPr>
        <w:t xml:space="preserve">La Ley General de Electricidad No. 125-01 </w:t>
      </w:r>
      <w:r>
        <w:rPr>
          <w:rFonts w:ascii="Arial Narrow" w:hAnsi="Arial Narrow" w:cs="Arial"/>
          <w:sz w:val="26"/>
          <w:szCs w:val="26"/>
        </w:rPr>
        <w:t xml:space="preserve">(LGE) y su Reglamento de Aplicación (RLGE) </w:t>
      </w:r>
      <w:r w:rsidRPr="00ED25FE">
        <w:rPr>
          <w:rFonts w:ascii="Arial Narrow" w:hAnsi="Arial Narrow" w:cs="Arial"/>
          <w:sz w:val="26"/>
          <w:szCs w:val="26"/>
        </w:rPr>
        <w:t>establece</w:t>
      </w:r>
      <w:r>
        <w:rPr>
          <w:rFonts w:ascii="Arial Narrow" w:hAnsi="Arial Narrow" w:cs="Arial"/>
          <w:sz w:val="26"/>
          <w:szCs w:val="26"/>
        </w:rPr>
        <w:t>n como</w:t>
      </w:r>
      <w:r w:rsidRPr="00ED25FE">
        <w:rPr>
          <w:rFonts w:ascii="Arial Narrow" w:hAnsi="Arial Narrow" w:cs="Arial"/>
          <w:sz w:val="26"/>
          <w:szCs w:val="26"/>
        </w:rPr>
        <w:t xml:space="preserve"> obligación de la S</w:t>
      </w:r>
      <w:r>
        <w:rPr>
          <w:rFonts w:ascii="Arial Narrow" w:hAnsi="Arial Narrow" w:cs="Arial"/>
          <w:sz w:val="26"/>
          <w:szCs w:val="26"/>
        </w:rPr>
        <w:t xml:space="preserve">uperintendencia de Electricidad (SIE) </w:t>
      </w:r>
      <w:r w:rsidRPr="00ED25FE">
        <w:rPr>
          <w:rFonts w:ascii="Arial Narrow" w:hAnsi="Arial Narrow" w:cs="Arial"/>
          <w:sz w:val="26"/>
          <w:szCs w:val="26"/>
        </w:rPr>
        <w:t>preparar periódicamente datos e informaciones</w:t>
      </w:r>
      <w:r>
        <w:rPr>
          <w:rFonts w:ascii="Arial Narrow" w:hAnsi="Arial Narrow" w:cs="Arial"/>
          <w:sz w:val="26"/>
          <w:szCs w:val="26"/>
        </w:rPr>
        <w:t xml:space="preserve"> que permitan conocer el sector […]; y que r</w:t>
      </w:r>
      <w:r w:rsidRPr="00ED25FE">
        <w:rPr>
          <w:rFonts w:ascii="Arial Narrow" w:hAnsi="Arial Narrow" w:cs="Arial"/>
          <w:sz w:val="26"/>
          <w:szCs w:val="26"/>
        </w:rPr>
        <w:t>equerir</w:t>
      </w:r>
      <w:r>
        <w:rPr>
          <w:rFonts w:ascii="Arial Narrow" w:hAnsi="Arial Narrow" w:cs="Arial"/>
          <w:sz w:val="26"/>
          <w:szCs w:val="26"/>
        </w:rPr>
        <w:t>á</w:t>
      </w:r>
      <w:r w:rsidRPr="00ED25FE">
        <w:rPr>
          <w:rFonts w:ascii="Arial Narrow" w:hAnsi="Arial Narrow" w:cs="Arial"/>
          <w:sz w:val="26"/>
          <w:szCs w:val="26"/>
        </w:rPr>
        <w:t xml:space="preserve"> de las empresas eléctricas</w:t>
      </w:r>
      <w:r>
        <w:rPr>
          <w:rFonts w:ascii="Arial Narrow" w:hAnsi="Arial Narrow" w:cs="Arial"/>
          <w:sz w:val="26"/>
          <w:szCs w:val="26"/>
        </w:rPr>
        <w:t xml:space="preserve"> [...]</w:t>
      </w:r>
      <w:r w:rsidRPr="00ED25FE">
        <w:rPr>
          <w:rFonts w:ascii="Arial Narrow" w:hAnsi="Arial Narrow" w:cs="Arial"/>
          <w:sz w:val="26"/>
          <w:szCs w:val="26"/>
        </w:rPr>
        <w:t xml:space="preserve"> los antecedentes técnicos, económicos y estadísticos necesarios para el cumplimiento de sus funciones y atribuciones, los que estarán obligados a entregar oportunamente las informaciones solicitadas. </w:t>
      </w:r>
    </w:p>
    <w:p w14:paraId="3DDCC157" w14:textId="77777777" w:rsidR="00B55410" w:rsidRDefault="00B55410" w:rsidP="00B55410">
      <w:pPr>
        <w:pStyle w:val="Default"/>
        <w:jc w:val="both"/>
        <w:rPr>
          <w:rFonts w:ascii="Arial Narrow" w:hAnsi="Arial Narrow" w:cs="Arial"/>
          <w:color w:val="auto"/>
          <w:sz w:val="26"/>
          <w:szCs w:val="26"/>
          <w:lang w:val="es-ES"/>
        </w:rPr>
      </w:pPr>
    </w:p>
    <w:p w14:paraId="58F207DC" w14:textId="3CB7B9B0" w:rsidR="00B55410" w:rsidRDefault="00B55410" w:rsidP="00B55410">
      <w:pPr>
        <w:pStyle w:val="Default"/>
        <w:jc w:val="both"/>
        <w:rPr>
          <w:rFonts w:ascii="Arial Narrow" w:hAnsi="Arial Narrow" w:cs="Arial"/>
          <w:color w:val="auto"/>
          <w:sz w:val="26"/>
          <w:szCs w:val="26"/>
          <w:lang w:val="es-ES"/>
        </w:rPr>
      </w:pPr>
      <w:r>
        <w:rPr>
          <w:rFonts w:ascii="Arial Narrow" w:hAnsi="Arial Narrow" w:cs="Arial"/>
          <w:color w:val="auto"/>
          <w:sz w:val="26"/>
          <w:szCs w:val="26"/>
          <w:lang w:val="es-ES"/>
        </w:rPr>
        <w:t>Además, e</w:t>
      </w:r>
      <w:r w:rsidRPr="002E0D0D">
        <w:rPr>
          <w:rFonts w:ascii="Arial Narrow" w:hAnsi="Arial Narrow" w:cs="Arial"/>
          <w:color w:val="auto"/>
          <w:sz w:val="26"/>
          <w:szCs w:val="26"/>
          <w:lang w:val="es-ES"/>
        </w:rPr>
        <w:t xml:space="preserve">n fecha </w:t>
      </w:r>
      <w:r>
        <w:rPr>
          <w:rFonts w:ascii="Arial Narrow" w:hAnsi="Arial Narrow" w:cs="Arial"/>
          <w:color w:val="auto"/>
          <w:sz w:val="26"/>
          <w:szCs w:val="26"/>
          <w:lang w:val="es-ES"/>
        </w:rPr>
        <w:t xml:space="preserve">25 de febrero de 2021, </w:t>
      </w:r>
      <w:r w:rsidRPr="002E0D0D">
        <w:rPr>
          <w:rFonts w:ascii="Arial Narrow" w:hAnsi="Arial Narrow" w:cs="Arial"/>
          <w:color w:val="auto"/>
          <w:sz w:val="26"/>
          <w:szCs w:val="26"/>
          <w:lang w:val="es-ES"/>
        </w:rPr>
        <w:t>se suscribió el</w:t>
      </w:r>
      <w:r>
        <w:rPr>
          <w:rFonts w:ascii="Arial Narrow" w:hAnsi="Arial Narrow" w:cs="Arial"/>
          <w:color w:val="auto"/>
          <w:sz w:val="26"/>
          <w:szCs w:val="26"/>
          <w:lang w:val="es-ES"/>
        </w:rPr>
        <w:t xml:space="preserve"> Pacto Eléctrico</w:t>
      </w:r>
      <w:r w:rsidRPr="002E0D0D">
        <w:rPr>
          <w:rFonts w:ascii="Arial Narrow" w:hAnsi="Arial Narrow" w:cs="Arial"/>
          <w:color w:val="auto"/>
          <w:sz w:val="26"/>
          <w:szCs w:val="26"/>
          <w:lang w:val="es-ES"/>
        </w:rPr>
        <w:t>, contentivo de los compromisos asumidos por los distintos actores</w:t>
      </w:r>
      <w:r>
        <w:rPr>
          <w:rFonts w:ascii="Arial Narrow" w:hAnsi="Arial Narrow" w:cs="Arial"/>
          <w:color w:val="auto"/>
          <w:sz w:val="26"/>
          <w:szCs w:val="26"/>
          <w:lang w:val="es-ES"/>
        </w:rPr>
        <w:t xml:space="preserve">. Posteriormente, mediante el Decreto No. 655-21 de fecha 15 de octubre de este mismo año, se establece el Reglamento del Pacto Nacional para la Reforma del Sector Eléctrico. En los mismos se establece como responsabilidad de la SIE </w:t>
      </w:r>
      <w:r w:rsidRPr="00256BF7">
        <w:rPr>
          <w:rFonts w:ascii="Arial Narrow" w:hAnsi="Arial Narrow" w:cs="Arial"/>
          <w:i/>
          <w:color w:val="auto"/>
          <w:sz w:val="26"/>
          <w:szCs w:val="26"/>
          <w:lang w:val="es-ES"/>
        </w:rPr>
        <w:t>mantener permanentemente actualizado su portal electrónico asegurando la publicación y permanencia de […] las estadísticas del subsector y las variables técnicas, comerciales y financieras, incluyendo sus informes de gestión, que permitan monitorear su desempeño</w:t>
      </w:r>
      <w:r>
        <w:rPr>
          <w:rFonts w:ascii="Arial Narrow" w:hAnsi="Arial Narrow" w:cs="Arial"/>
          <w:i/>
          <w:color w:val="auto"/>
          <w:sz w:val="26"/>
          <w:szCs w:val="26"/>
          <w:lang w:val="es-ES"/>
        </w:rPr>
        <w:t xml:space="preserve"> […]</w:t>
      </w:r>
      <w:r w:rsidRPr="00256BF7">
        <w:rPr>
          <w:rFonts w:ascii="Arial Narrow" w:hAnsi="Arial Narrow" w:cs="Arial"/>
          <w:i/>
          <w:color w:val="auto"/>
          <w:sz w:val="26"/>
          <w:szCs w:val="26"/>
          <w:lang w:val="es-ES"/>
        </w:rPr>
        <w:t>.</w:t>
      </w:r>
      <w:r>
        <w:rPr>
          <w:rFonts w:ascii="Arial Narrow" w:hAnsi="Arial Narrow" w:cs="Arial"/>
          <w:color w:val="auto"/>
          <w:sz w:val="26"/>
          <w:szCs w:val="26"/>
          <w:lang w:val="es-ES"/>
        </w:rPr>
        <w:t xml:space="preserve">  También que </w:t>
      </w:r>
      <w:r w:rsidRPr="00697A1D">
        <w:rPr>
          <w:rFonts w:ascii="Arial Narrow" w:hAnsi="Arial Narrow" w:cs="Arial"/>
          <w:i/>
          <w:color w:val="auto"/>
          <w:sz w:val="26"/>
          <w:szCs w:val="26"/>
          <w:lang w:val="es-ES"/>
        </w:rPr>
        <w:t>la SIE y las empresas distribuidoras de electricidad de propiedad estatal deberán realizar una gestión transparente de la información y divulgar de manera regular y en fechas preestablecidas los valores de los indicadores de desempeño contenidos en el plan de reducción de pérdidas y el cronograma de mejora de gestión</w:t>
      </w:r>
      <w:r w:rsidRPr="00697A1D">
        <w:rPr>
          <w:rFonts w:ascii="Arial Narrow" w:hAnsi="Arial Narrow" w:cs="Arial"/>
          <w:color w:val="auto"/>
          <w:sz w:val="26"/>
          <w:szCs w:val="26"/>
          <w:lang w:val="es-ES"/>
        </w:rPr>
        <w:t>.</w:t>
      </w:r>
      <w:r>
        <w:rPr>
          <w:rFonts w:ascii="Arial Narrow" w:hAnsi="Arial Narrow" w:cs="Arial"/>
          <w:color w:val="auto"/>
          <w:sz w:val="26"/>
          <w:szCs w:val="26"/>
          <w:lang w:val="es-ES"/>
        </w:rPr>
        <w:t xml:space="preserve"> </w:t>
      </w:r>
    </w:p>
    <w:p w14:paraId="58247A48" w14:textId="77777777" w:rsidR="00B55410" w:rsidRDefault="00B55410" w:rsidP="00B55410">
      <w:pPr>
        <w:pStyle w:val="Default"/>
        <w:jc w:val="both"/>
        <w:rPr>
          <w:rFonts w:ascii="Arial Narrow" w:hAnsi="Arial Narrow" w:cs="Arial"/>
          <w:color w:val="auto"/>
          <w:sz w:val="26"/>
          <w:szCs w:val="26"/>
          <w:lang w:val="es-ES"/>
        </w:rPr>
      </w:pPr>
    </w:p>
    <w:p w14:paraId="0D132923" w14:textId="11ABE002" w:rsidR="00697A1D" w:rsidRDefault="00B55410" w:rsidP="00B55410">
      <w:pPr>
        <w:pStyle w:val="Default"/>
        <w:jc w:val="both"/>
        <w:rPr>
          <w:rFonts w:ascii="Arial Narrow" w:hAnsi="Arial Narrow" w:cs="Arial"/>
          <w:color w:val="auto"/>
          <w:sz w:val="26"/>
          <w:szCs w:val="26"/>
          <w:lang w:val="es-ES"/>
        </w:rPr>
      </w:pPr>
      <w:r w:rsidRPr="00381F8F">
        <w:rPr>
          <w:rFonts w:ascii="Arial Narrow" w:hAnsi="Arial Narrow" w:cs="Arial"/>
          <w:color w:val="auto"/>
          <w:sz w:val="26"/>
          <w:szCs w:val="26"/>
          <w:lang w:val="es-ES"/>
        </w:rPr>
        <w:t xml:space="preserve">La Superintendencia de Electricidad, </w:t>
      </w:r>
      <w:r>
        <w:rPr>
          <w:rFonts w:ascii="Arial Narrow" w:hAnsi="Arial Narrow" w:cs="Arial"/>
          <w:color w:val="auto"/>
          <w:sz w:val="26"/>
          <w:szCs w:val="26"/>
          <w:lang w:val="es-ES"/>
        </w:rPr>
        <w:t>para</w:t>
      </w:r>
      <w:r w:rsidRPr="00381F8F">
        <w:rPr>
          <w:rFonts w:ascii="Arial Narrow" w:hAnsi="Arial Narrow" w:cs="Arial"/>
          <w:color w:val="auto"/>
          <w:sz w:val="26"/>
          <w:szCs w:val="26"/>
          <w:lang w:val="es-ES"/>
        </w:rPr>
        <w:t xml:space="preserve"> dar respuesta a estos requerimientos normativos, contrató los servicios de consultor</w:t>
      </w:r>
      <w:r>
        <w:rPr>
          <w:rFonts w:ascii="Arial Narrow" w:hAnsi="Arial Narrow" w:cs="Arial"/>
          <w:color w:val="auto"/>
          <w:sz w:val="26"/>
          <w:szCs w:val="26"/>
          <w:lang w:val="es-ES"/>
        </w:rPr>
        <w:t>ía que permitiero</w:t>
      </w:r>
      <w:r w:rsidRPr="00381F8F">
        <w:rPr>
          <w:rFonts w:ascii="Arial Narrow" w:hAnsi="Arial Narrow" w:cs="Arial"/>
          <w:color w:val="auto"/>
          <w:sz w:val="26"/>
          <w:szCs w:val="26"/>
          <w:lang w:val="es-ES"/>
        </w:rPr>
        <w:t xml:space="preserve">n desarrollar un sistema de información </w:t>
      </w:r>
      <w:r>
        <w:rPr>
          <w:rFonts w:ascii="Arial Narrow" w:hAnsi="Arial Narrow" w:cs="Arial"/>
          <w:color w:val="auto"/>
          <w:sz w:val="26"/>
          <w:szCs w:val="26"/>
          <w:lang w:val="es-ES"/>
        </w:rPr>
        <w:t xml:space="preserve">que permita </w:t>
      </w:r>
      <w:r w:rsidRPr="00381F8F">
        <w:rPr>
          <w:rFonts w:ascii="Arial Narrow" w:hAnsi="Arial Narrow" w:cs="Arial"/>
          <w:color w:val="auto"/>
          <w:sz w:val="26"/>
          <w:szCs w:val="26"/>
          <w:lang w:val="es-ES"/>
        </w:rPr>
        <w:t>compilar periódicamente (de manera mensual) datos e información contable y extracontable de las empresas eléctricas sujetas a regulación, respecto a su desempeño económico y operativo</w:t>
      </w:r>
      <w:r>
        <w:rPr>
          <w:rFonts w:ascii="Arial Narrow" w:hAnsi="Arial Narrow" w:cs="Arial"/>
          <w:color w:val="auto"/>
          <w:sz w:val="26"/>
          <w:szCs w:val="26"/>
          <w:lang w:val="es-ES"/>
        </w:rPr>
        <w:t>, y aquí surge el Sistema Único de Cuentas (SUC)</w:t>
      </w:r>
      <w:r w:rsidRPr="00381F8F">
        <w:rPr>
          <w:rFonts w:ascii="Arial Narrow" w:hAnsi="Arial Narrow" w:cs="Arial"/>
          <w:color w:val="auto"/>
          <w:sz w:val="26"/>
          <w:szCs w:val="26"/>
          <w:lang w:val="es-ES"/>
        </w:rPr>
        <w:t>.</w:t>
      </w:r>
      <w:r>
        <w:rPr>
          <w:rFonts w:ascii="Arial Narrow" w:hAnsi="Arial Narrow" w:cs="Arial"/>
          <w:color w:val="auto"/>
          <w:sz w:val="26"/>
          <w:szCs w:val="26"/>
          <w:lang w:val="es-ES"/>
        </w:rPr>
        <w:t xml:space="preserve"> Este sistema, además de compilar estos datos, calcula varios indicadores, dentro de los cuales están los de Desempeño abarcados en este informe y que se detalla</w:t>
      </w:r>
      <w:r w:rsidR="00464B32">
        <w:rPr>
          <w:rFonts w:ascii="Arial Narrow" w:hAnsi="Arial Narrow" w:cs="Arial"/>
          <w:color w:val="auto"/>
          <w:sz w:val="26"/>
          <w:szCs w:val="26"/>
          <w:lang w:val="es-ES"/>
        </w:rPr>
        <w:t>n</w:t>
      </w:r>
      <w:r>
        <w:rPr>
          <w:rFonts w:ascii="Arial Narrow" w:hAnsi="Arial Narrow" w:cs="Arial"/>
          <w:color w:val="auto"/>
          <w:sz w:val="26"/>
          <w:szCs w:val="26"/>
          <w:lang w:val="es-ES"/>
        </w:rPr>
        <w:t xml:space="preserve"> a continuación.</w:t>
      </w:r>
      <w:r w:rsidR="00697A1D">
        <w:rPr>
          <w:rFonts w:ascii="Arial Narrow" w:hAnsi="Arial Narrow" w:cs="Arial"/>
          <w:color w:val="auto"/>
          <w:sz w:val="26"/>
          <w:szCs w:val="26"/>
          <w:lang w:val="es-ES"/>
        </w:rPr>
        <w:t xml:space="preserve"> </w:t>
      </w:r>
    </w:p>
    <w:p w14:paraId="31D5F0E8" w14:textId="77777777" w:rsidR="00834D38" w:rsidRPr="00834D38" w:rsidRDefault="00834D38" w:rsidP="00834D38">
      <w:pPr>
        <w:pStyle w:val="Prrafodelista"/>
        <w:spacing w:line="276" w:lineRule="auto"/>
        <w:ind w:left="1137"/>
        <w:jc w:val="both"/>
        <w:rPr>
          <w:rFonts w:ascii="Arial Narrow" w:hAnsi="Arial Narrow" w:cs="Arial"/>
          <w:sz w:val="26"/>
          <w:szCs w:val="26"/>
        </w:rPr>
      </w:pPr>
    </w:p>
    <w:p w14:paraId="16C1A2BC" w14:textId="3B6BFDF2" w:rsidR="00DF6E0C" w:rsidRPr="008B564D" w:rsidRDefault="00B840BF" w:rsidP="00C95B42">
      <w:pPr>
        <w:pStyle w:val="Ttulo1"/>
        <w:numPr>
          <w:ilvl w:val="0"/>
          <w:numId w:val="1"/>
        </w:numPr>
        <w:jc w:val="left"/>
        <w:rPr>
          <w:rFonts w:ascii="Arial Narrow" w:hAnsi="Arial Narrow" w:cs="Arial"/>
          <w:b/>
          <w:sz w:val="26"/>
          <w:szCs w:val="26"/>
        </w:rPr>
      </w:pPr>
      <w:bookmarkStart w:id="14" w:name="_Toc114065692"/>
      <w:r>
        <w:rPr>
          <w:rFonts w:ascii="Arial Narrow" w:hAnsi="Arial Narrow" w:cs="Arial"/>
          <w:b/>
          <w:sz w:val="26"/>
          <w:szCs w:val="26"/>
        </w:rPr>
        <w:t>INDICADORES DE DESEMPEÑO</w:t>
      </w:r>
      <w:r w:rsidR="00A07472">
        <w:rPr>
          <w:rFonts w:ascii="Arial Narrow" w:hAnsi="Arial Narrow" w:cs="Arial"/>
          <w:b/>
          <w:sz w:val="26"/>
          <w:szCs w:val="26"/>
        </w:rPr>
        <w:t xml:space="preserve">, </w:t>
      </w:r>
      <w:r w:rsidR="00B67487">
        <w:rPr>
          <w:rFonts w:ascii="Arial Narrow" w:hAnsi="Arial Narrow" w:cs="Arial"/>
          <w:b/>
          <w:sz w:val="26"/>
          <w:szCs w:val="26"/>
        </w:rPr>
        <w:t>ABRIL</w:t>
      </w:r>
      <w:r w:rsidR="00A07472">
        <w:rPr>
          <w:rFonts w:ascii="Arial Narrow" w:hAnsi="Arial Narrow" w:cs="Arial"/>
          <w:b/>
          <w:sz w:val="26"/>
          <w:szCs w:val="26"/>
        </w:rPr>
        <w:t xml:space="preserve"> – </w:t>
      </w:r>
      <w:r w:rsidR="00B67487">
        <w:rPr>
          <w:rFonts w:ascii="Arial Narrow" w:hAnsi="Arial Narrow" w:cs="Arial"/>
          <w:b/>
          <w:sz w:val="26"/>
          <w:szCs w:val="26"/>
        </w:rPr>
        <w:t>JUNIO</w:t>
      </w:r>
      <w:r w:rsidR="00A07472">
        <w:rPr>
          <w:rFonts w:ascii="Arial Narrow" w:hAnsi="Arial Narrow" w:cs="Arial"/>
          <w:b/>
          <w:sz w:val="26"/>
          <w:szCs w:val="26"/>
        </w:rPr>
        <w:t xml:space="preserve"> 202</w:t>
      </w:r>
      <w:r w:rsidR="004E7B5C">
        <w:rPr>
          <w:rFonts w:ascii="Arial Narrow" w:hAnsi="Arial Narrow" w:cs="Arial"/>
          <w:b/>
          <w:sz w:val="26"/>
          <w:szCs w:val="26"/>
        </w:rPr>
        <w:t>2</w:t>
      </w:r>
      <w:r w:rsidR="00A07472">
        <w:rPr>
          <w:rFonts w:ascii="Arial Narrow" w:hAnsi="Arial Narrow" w:cs="Arial"/>
          <w:b/>
          <w:sz w:val="26"/>
          <w:szCs w:val="26"/>
        </w:rPr>
        <w:t>.</w:t>
      </w:r>
      <w:bookmarkEnd w:id="14"/>
    </w:p>
    <w:p w14:paraId="1D8CC3BE" w14:textId="77777777" w:rsidR="00D46BD3" w:rsidRPr="008B564D" w:rsidRDefault="00D46BD3" w:rsidP="00DF6E0C">
      <w:pPr>
        <w:spacing w:line="276" w:lineRule="auto"/>
        <w:jc w:val="both"/>
        <w:rPr>
          <w:rFonts w:ascii="Arial Narrow" w:hAnsi="Arial Narrow" w:cs="Arial"/>
          <w:sz w:val="26"/>
          <w:szCs w:val="26"/>
        </w:rPr>
      </w:pPr>
    </w:p>
    <w:p w14:paraId="1B10EB67" w14:textId="76804593" w:rsidR="00B840BF" w:rsidRDefault="00197C09" w:rsidP="00BE4659">
      <w:pPr>
        <w:jc w:val="both"/>
        <w:rPr>
          <w:rFonts w:ascii="Arial Narrow" w:hAnsi="Arial Narrow" w:cs="Arial"/>
          <w:sz w:val="26"/>
          <w:szCs w:val="26"/>
        </w:rPr>
      </w:pPr>
      <w:r>
        <w:rPr>
          <w:rFonts w:ascii="Arial Narrow" w:hAnsi="Arial Narrow" w:cs="Arial"/>
          <w:sz w:val="26"/>
          <w:szCs w:val="26"/>
        </w:rPr>
        <w:t>Para conocimiento, e</w:t>
      </w:r>
      <w:r w:rsidR="00B840BF">
        <w:rPr>
          <w:rFonts w:ascii="Arial Narrow" w:hAnsi="Arial Narrow" w:cs="Arial"/>
          <w:sz w:val="26"/>
          <w:szCs w:val="26"/>
        </w:rPr>
        <w:t xml:space="preserve">l Reglamento del Pacto Eléctrico establece </w:t>
      </w:r>
      <w:r w:rsidR="00A07472">
        <w:rPr>
          <w:rFonts w:ascii="Arial Narrow" w:hAnsi="Arial Narrow" w:cs="Arial"/>
          <w:sz w:val="26"/>
          <w:szCs w:val="26"/>
        </w:rPr>
        <w:t>las siguientes metas para los indicadores:</w:t>
      </w:r>
    </w:p>
    <w:tbl>
      <w:tblPr>
        <w:tblW w:w="9486" w:type="dxa"/>
        <w:tblCellMar>
          <w:left w:w="70" w:type="dxa"/>
          <w:right w:w="70" w:type="dxa"/>
        </w:tblCellMar>
        <w:tblLook w:val="04A0" w:firstRow="1" w:lastRow="0" w:firstColumn="1" w:lastColumn="0" w:noHBand="0" w:noVBand="1"/>
      </w:tblPr>
      <w:tblGrid>
        <w:gridCol w:w="196"/>
        <w:gridCol w:w="1493"/>
        <w:gridCol w:w="1073"/>
        <w:gridCol w:w="1073"/>
        <w:gridCol w:w="1073"/>
        <w:gridCol w:w="1073"/>
        <w:gridCol w:w="1073"/>
        <w:gridCol w:w="1073"/>
        <w:gridCol w:w="1073"/>
        <w:gridCol w:w="286"/>
      </w:tblGrid>
      <w:tr w:rsidR="00B840BF" w:rsidRPr="00B840BF" w14:paraId="3340648C" w14:textId="77777777" w:rsidTr="00464B32">
        <w:trPr>
          <w:trHeight w:val="287"/>
        </w:trPr>
        <w:tc>
          <w:tcPr>
            <w:tcW w:w="196" w:type="dxa"/>
            <w:tcBorders>
              <w:top w:val="nil"/>
              <w:left w:val="nil"/>
              <w:bottom w:val="nil"/>
              <w:right w:val="nil"/>
            </w:tcBorders>
            <w:shd w:val="clear" w:color="auto" w:fill="auto"/>
            <w:noWrap/>
            <w:vAlign w:val="bottom"/>
            <w:hideMark/>
          </w:tcPr>
          <w:p w14:paraId="5E29CD50" w14:textId="77777777" w:rsidR="00B840BF" w:rsidRPr="00B840BF" w:rsidRDefault="00B840BF" w:rsidP="00B840BF">
            <w:pPr>
              <w:spacing w:after="0"/>
              <w:jc w:val="left"/>
              <w:rPr>
                <w:rFonts w:ascii="Times New Roman" w:eastAsia="Times New Roman" w:hAnsi="Times New Roman" w:cs="Times New Roman"/>
                <w:sz w:val="24"/>
                <w:szCs w:val="24"/>
                <w:lang w:val="es-DO" w:eastAsia="es-DO"/>
              </w:rPr>
            </w:pPr>
          </w:p>
        </w:tc>
        <w:tc>
          <w:tcPr>
            <w:tcW w:w="1493" w:type="dxa"/>
            <w:tcBorders>
              <w:top w:val="nil"/>
              <w:left w:val="nil"/>
              <w:bottom w:val="nil"/>
              <w:right w:val="nil"/>
            </w:tcBorders>
            <w:shd w:val="clear" w:color="auto" w:fill="auto"/>
            <w:noWrap/>
            <w:vAlign w:val="bottom"/>
            <w:hideMark/>
          </w:tcPr>
          <w:p w14:paraId="04B66230"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63E18308"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2020*</w:t>
            </w:r>
          </w:p>
        </w:tc>
        <w:tc>
          <w:tcPr>
            <w:tcW w:w="1073" w:type="dxa"/>
            <w:tcBorders>
              <w:top w:val="nil"/>
              <w:left w:val="nil"/>
              <w:bottom w:val="nil"/>
              <w:right w:val="nil"/>
            </w:tcBorders>
            <w:shd w:val="clear" w:color="auto" w:fill="auto"/>
            <w:noWrap/>
            <w:vAlign w:val="bottom"/>
            <w:hideMark/>
          </w:tcPr>
          <w:p w14:paraId="5D6CC191"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2021</w:t>
            </w:r>
          </w:p>
        </w:tc>
        <w:tc>
          <w:tcPr>
            <w:tcW w:w="1073" w:type="dxa"/>
            <w:tcBorders>
              <w:top w:val="nil"/>
              <w:left w:val="nil"/>
              <w:bottom w:val="nil"/>
              <w:right w:val="nil"/>
            </w:tcBorders>
            <w:shd w:val="clear" w:color="auto" w:fill="auto"/>
            <w:noWrap/>
            <w:vAlign w:val="bottom"/>
            <w:hideMark/>
          </w:tcPr>
          <w:p w14:paraId="304AB497"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2022</w:t>
            </w:r>
          </w:p>
        </w:tc>
        <w:tc>
          <w:tcPr>
            <w:tcW w:w="1073" w:type="dxa"/>
            <w:tcBorders>
              <w:top w:val="nil"/>
              <w:left w:val="nil"/>
              <w:bottom w:val="nil"/>
              <w:right w:val="nil"/>
            </w:tcBorders>
            <w:shd w:val="clear" w:color="auto" w:fill="auto"/>
            <w:noWrap/>
            <w:vAlign w:val="bottom"/>
            <w:hideMark/>
          </w:tcPr>
          <w:p w14:paraId="3CFEC153"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2023</w:t>
            </w:r>
          </w:p>
        </w:tc>
        <w:tc>
          <w:tcPr>
            <w:tcW w:w="1073" w:type="dxa"/>
            <w:tcBorders>
              <w:top w:val="nil"/>
              <w:left w:val="nil"/>
              <w:bottom w:val="nil"/>
              <w:right w:val="nil"/>
            </w:tcBorders>
            <w:shd w:val="clear" w:color="auto" w:fill="auto"/>
            <w:noWrap/>
            <w:vAlign w:val="bottom"/>
            <w:hideMark/>
          </w:tcPr>
          <w:p w14:paraId="144B5709"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2024</w:t>
            </w:r>
          </w:p>
        </w:tc>
        <w:tc>
          <w:tcPr>
            <w:tcW w:w="1073" w:type="dxa"/>
            <w:tcBorders>
              <w:top w:val="nil"/>
              <w:left w:val="nil"/>
              <w:bottom w:val="nil"/>
              <w:right w:val="nil"/>
            </w:tcBorders>
            <w:shd w:val="clear" w:color="auto" w:fill="auto"/>
            <w:noWrap/>
            <w:vAlign w:val="bottom"/>
            <w:hideMark/>
          </w:tcPr>
          <w:p w14:paraId="2956AB7E"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2025</w:t>
            </w:r>
          </w:p>
        </w:tc>
        <w:tc>
          <w:tcPr>
            <w:tcW w:w="1073" w:type="dxa"/>
            <w:tcBorders>
              <w:top w:val="nil"/>
              <w:left w:val="nil"/>
              <w:bottom w:val="nil"/>
              <w:right w:val="nil"/>
            </w:tcBorders>
            <w:shd w:val="clear" w:color="auto" w:fill="auto"/>
            <w:noWrap/>
            <w:vAlign w:val="bottom"/>
            <w:hideMark/>
          </w:tcPr>
          <w:p w14:paraId="7CFDD597"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2026</w:t>
            </w:r>
          </w:p>
        </w:tc>
        <w:tc>
          <w:tcPr>
            <w:tcW w:w="286" w:type="dxa"/>
            <w:tcBorders>
              <w:top w:val="nil"/>
              <w:left w:val="nil"/>
              <w:bottom w:val="nil"/>
              <w:right w:val="nil"/>
            </w:tcBorders>
            <w:shd w:val="clear" w:color="auto" w:fill="auto"/>
            <w:noWrap/>
            <w:vAlign w:val="bottom"/>
            <w:hideMark/>
          </w:tcPr>
          <w:p w14:paraId="30F7F360" w14:textId="77777777" w:rsidR="00B840BF" w:rsidRPr="00B840BF" w:rsidRDefault="00B840BF" w:rsidP="00B840BF">
            <w:pPr>
              <w:spacing w:after="0"/>
              <w:rPr>
                <w:rFonts w:ascii="Calibri" w:eastAsia="Times New Roman" w:hAnsi="Calibri" w:cs="Calibri"/>
                <w:b/>
                <w:bCs/>
                <w:color w:val="000000"/>
                <w:sz w:val="22"/>
                <w:szCs w:val="22"/>
                <w:lang w:val="es-DO" w:eastAsia="es-DO"/>
              </w:rPr>
            </w:pPr>
          </w:p>
        </w:tc>
      </w:tr>
      <w:tr w:rsidR="00B840BF" w:rsidRPr="00B840BF" w14:paraId="40909DA2" w14:textId="77777777" w:rsidTr="00464B32">
        <w:trPr>
          <w:trHeight w:val="287"/>
        </w:trPr>
        <w:tc>
          <w:tcPr>
            <w:tcW w:w="196" w:type="dxa"/>
            <w:tcBorders>
              <w:top w:val="nil"/>
              <w:left w:val="nil"/>
              <w:bottom w:val="nil"/>
              <w:right w:val="nil"/>
            </w:tcBorders>
            <w:shd w:val="clear" w:color="auto" w:fill="auto"/>
            <w:noWrap/>
            <w:vAlign w:val="bottom"/>
            <w:hideMark/>
          </w:tcPr>
          <w:p w14:paraId="485E0AF4"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7000A" w14:textId="77777777" w:rsidR="00B840BF" w:rsidRPr="00B840BF" w:rsidRDefault="00B840BF" w:rsidP="00B840BF">
            <w:pPr>
              <w:spacing w:after="0"/>
              <w:jc w:val="left"/>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Pérdidas</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052971D4"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33.1%</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22007E9A"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27.0%</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08059059"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23.4%</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587F54DD"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21.1%</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27E77469"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19.1%</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7569969D"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17.1%</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6EC40742"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15.0%</w:t>
            </w:r>
          </w:p>
        </w:tc>
        <w:tc>
          <w:tcPr>
            <w:tcW w:w="286" w:type="dxa"/>
            <w:tcBorders>
              <w:top w:val="nil"/>
              <w:left w:val="nil"/>
              <w:bottom w:val="nil"/>
              <w:right w:val="nil"/>
            </w:tcBorders>
            <w:shd w:val="clear" w:color="auto" w:fill="auto"/>
            <w:noWrap/>
            <w:vAlign w:val="bottom"/>
            <w:hideMark/>
          </w:tcPr>
          <w:p w14:paraId="7157637D" w14:textId="77777777" w:rsidR="00B840BF" w:rsidRPr="00B840BF" w:rsidRDefault="00B840BF" w:rsidP="00B840BF">
            <w:pPr>
              <w:spacing w:after="0"/>
              <w:rPr>
                <w:rFonts w:ascii="Calibri" w:eastAsia="Times New Roman" w:hAnsi="Calibri" w:cs="Calibri"/>
                <w:b/>
                <w:bCs/>
                <w:color w:val="000000"/>
                <w:sz w:val="22"/>
                <w:szCs w:val="22"/>
                <w:lang w:val="es-DO" w:eastAsia="es-DO"/>
              </w:rPr>
            </w:pPr>
          </w:p>
        </w:tc>
      </w:tr>
      <w:tr w:rsidR="00B840BF" w:rsidRPr="00B840BF" w14:paraId="14C66A47" w14:textId="77777777" w:rsidTr="00464B32">
        <w:trPr>
          <w:trHeight w:val="287"/>
        </w:trPr>
        <w:tc>
          <w:tcPr>
            <w:tcW w:w="196" w:type="dxa"/>
            <w:tcBorders>
              <w:top w:val="nil"/>
              <w:left w:val="nil"/>
              <w:bottom w:val="nil"/>
              <w:right w:val="nil"/>
            </w:tcBorders>
            <w:shd w:val="clear" w:color="auto" w:fill="auto"/>
            <w:noWrap/>
            <w:vAlign w:val="bottom"/>
            <w:hideMark/>
          </w:tcPr>
          <w:p w14:paraId="06FC26FF"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14:paraId="1270C1A2" w14:textId="77777777" w:rsidR="00B840BF" w:rsidRPr="00B840BF" w:rsidRDefault="00B840BF" w:rsidP="00B840BF">
            <w:pPr>
              <w:spacing w:after="0"/>
              <w:rPr>
                <w:rFonts w:ascii="Calibri" w:eastAsia="Times New Roman" w:hAnsi="Calibri" w:cs="Calibri"/>
                <w:color w:val="000000"/>
                <w:sz w:val="22"/>
                <w:szCs w:val="22"/>
                <w:lang w:val="es-DO" w:eastAsia="es-DO"/>
              </w:rPr>
            </w:pPr>
            <w:proofErr w:type="spellStart"/>
            <w:r w:rsidRPr="00B840BF">
              <w:rPr>
                <w:rFonts w:ascii="Calibri" w:eastAsia="Times New Roman" w:hAnsi="Calibri" w:cs="Calibri"/>
                <w:color w:val="000000"/>
                <w:sz w:val="22"/>
                <w:szCs w:val="22"/>
                <w:lang w:val="es-DO" w:eastAsia="es-DO"/>
              </w:rPr>
              <w:t>Edenorte</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14:paraId="0AC111C9"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22.6%</w:t>
            </w:r>
          </w:p>
        </w:tc>
        <w:tc>
          <w:tcPr>
            <w:tcW w:w="1073" w:type="dxa"/>
            <w:tcBorders>
              <w:top w:val="nil"/>
              <w:left w:val="nil"/>
              <w:bottom w:val="single" w:sz="4" w:space="0" w:color="auto"/>
              <w:right w:val="single" w:sz="4" w:space="0" w:color="auto"/>
            </w:tcBorders>
            <w:shd w:val="clear" w:color="auto" w:fill="auto"/>
            <w:noWrap/>
            <w:vAlign w:val="bottom"/>
            <w:hideMark/>
          </w:tcPr>
          <w:p w14:paraId="2BD40CC2"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20.5%</w:t>
            </w:r>
          </w:p>
        </w:tc>
        <w:tc>
          <w:tcPr>
            <w:tcW w:w="1073" w:type="dxa"/>
            <w:tcBorders>
              <w:top w:val="nil"/>
              <w:left w:val="nil"/>
              <w:bottom w:val="single" w:sz="4" w:space="0" w:color="auto"/>
              <w:right w:val="single" w:sz="4" w:space="0" w:color="auto"/>
            </w:tcBorders>
            <w:shd w:val="clear" w:color="auto" w:fill="auto"/>
            <w:noWrap/>
            <w:vAlign w:val="bottom"/>
            <w:hideMark/>
          </w:tcPr>
          <w:p w14:paraId="00FA45EC"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18.5%</w:t>
            </w:r>
          </w:p>
        </w:tc>
        <w:tc>
          <w:tcPr>
            <w:tcW w:w="1073" w:type="dxa"/>
            <w:tcBorders>
              <w:top w:val="nil"/>
              <w:left w:val="nil"/>
              <w:bottom w:val="single" w:sz="4" w:space="0" w:color="auto"/>
              <w:right w:val="single" w:sz="4" w:space="0" w:color="auto"/>
            </w:tcBorders>
            <w:shd w:val="clear" w:color="auto" w:fill="auto"/>
            <w:noWrap/>
            <w:vAlign w:val="bottom"/>
            <w:hideMark/>
          </w:tcPr>
          <w:p w14:paraId="1C59213D"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17.0%</w:t>
            </w:r>
          </w:p>
        </w:tc>
        <w:tc>
          <w:tcPr>
            <w:tcW w:w="1073" w:type="dxa"/>
            <w:tcBorders>
              <w:top w:val="nil"/>
              <w:left w:val="nil"/>
              <w:bottom w:val="single" w:sz="4" w:space="0" w:color="auto"/>
              <w:right w:val="single" w:sz="4" w:space="0" w:color="auto"/>
            </w:tcBorders>
            <w:shd w:val="clear" w:color="auto" w:fill="auto"/>
            <w:noWrap/>
            <w:vAlign w:val="bottom"/>
            <w:hideMark/>
          </w:tcPr>
          <w:p w14:paraId="225CE4F9"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15.5%</w:t>
            </w:r>
          </w:p>
        </w:tc>
        <w:tc>
          <w:tcPr>
            <w:tcW w:w="1073" w:type="dxa"/>
            <w:tcBorders>
              <w:top w:val="nil"/>
              <w:left w:val="nil"/>
              <w:bottom w:val="single" w:sz="4" w:space="0" w:color="auto"/>
              <w:right w:val="single" w:sz="4" w:space="0" w:color="auto"/>
            </w:tcBorders>
            <w:shd w:val="clear" w:color="auto" w:fill="auto"/>
            <w:noWrap/>
            <w:vAlign w:val="bottom"/>
            <w:hideMark/>
          </w:tcPr>
          <w:p w14:paraId="60C8F232"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14.0%</w:t>
            </w:r>
          </w:p>
        </w:tc>
        <w:tc>
          <w:tcPr>
            <w:tcW w:w="1073" w:type="dxa"/>
            <w:tcBorders>
              <w:top w:val="nil"/>
              <w:left w:val="nil"/>
              <w:bottom w:val="single" w:sz="4" w:space="0" w:color="auto"/>
              <w:right w:val="single" w:sz="4" w:space="0" w:color="auto"/>
            </w:tcBorders>
            <w:shd w:val="clear" w:color="auto" w:fill="auto"/>
            <w:noWrap/>
            <w:vAlign w:val="bottom"/>
            <w:hideMark/>
          </w:tcPr>
          <w:p w14:paraId="1800402C"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12.5%</w:t>
            </w:r>
          </w:p>
        </w:tc>
        <w:tc>
          <w:tcPr>
            <w:tcW w:w="286" w:type="dxa"/>
            <w:tcBorders>
              <w:top w:val="nil"/>
              <w:left w:val="nil"/>
              <w:bottom w:val="nil"/>
              <w:right w:val="nil"/>
            </w:tcBorders>
            <w:shd w:val="clear" w:color="auto" w:fill="auto"/>
            <w:noWrap/>
            <w:vAlign w:val="bottom"/>
            <w:hideMark/>
          </w:tcPr>
          <w:p w14:paraId="5CAA853D" w14:textId="77777777" w:rsidR="00B840BF" w:rsidRPr="00B840BF" w:rsidRDefault="00B840BF" w:rsidP="00B840BF">
            <w:pPr>
              <w:spacing w:after="0"/>
              <w:rPr>
                <w:rFonts w:ascii="Calibri" w:eastAsia="Times New Roman" w:hAnsi="Calibri" w:cs="Calibri"/>
                <w:color w:val="000000"/>
                <w:sz w:val="22"/>
                <w:szCs w:val="22"/>
                <w:lang w:val="es-DO" w:eastAsia="es-DO"/>
              </w:rPr>
            </w:pPr>
          </w:p>
        </w:tc>
      </w:tr>
      <w:tr w:rsidR="00B840BF" w:rsidRPr="00B840BF" w14:paraId="47337DDD" w14:textId="77777777" w:rsidTr="00464B32">
        <w:trPr>
          <w:trHeight w:val="287"/>
        </w:trPr>
        <w:tc>
          <w:tcPr>
            <w:tcW w:w="196" w:type="dxa"/>
            <w:tcBorders>
              <w:top w:val="nil"/>
              <w:left w:val="nil"/>
              <w:bottom w:val="nil"/>
              <w:right w:val="nil"/>
            </w:tcBorders>
            <w:shd w:val="clear" w:color="auto" w:fill="auto"/>
            <w:noWrap/>
            <w:vAlign w:val="bottom"/>
            <w:hideMark/>
          </w:tcPr>
          <w:p w14:paraId="1AE7D59A"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14:paraId="4AFA2413"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 xml:space="preserve">Edesur </w:t>
            </w:r>
          </w:p>
        </w:tc>
        <w:tc>
          <w:tcPr>
            <w:tcW w:w="1073" w:type="dxa"/>
            <w:tcBorders>
              <w:top w:val="nil"/>
              <w:left w:val="nil"/>
              <w:bottom w:val="single" w:sz="4" w:space="0" w:color="auto"/>
              <w:right w:val="single" w:sz="4" w:space="0" w:color="auto"/>
            </w:tcBorders>
            <w:shd w:val="clear" w:color="auto" w:fill="auto"/>
            <w:noWrap/>
            <w:vAlign w:val="bottom"/>
            <w:hideMark/>
          </w:tcPr>
          <w:p w14:paraId="7946D067"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25.1%</w:t>
            </w:r>
          </w:p>
        </w:tc>
        <w:tc>
          <w:tcPr>
            <w:tcW w:w="1073" w:type="dxa"/>
            <w:tcBorders>
              <w:top w:val="nil"/>
              <w:left w:val="nil"/>
              <w:bottom w:val="single" w:sz="4" w:space="0" w:color="auto"/>
              <w:right w:val="single" w:sz="4" w:space="0" w:color="auto"/>
            </w:tcBorders>
            <w:shd w:val="clear" w:color="auto" w:fill="auto"/>
            <w:noWrap/>
            <w:vAlign w:val="bottom"/>
            <w:hideMark/>
          </w:tcPr>
          <w:p w14:paraId="2CB60804"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21.4%</w:t>
            </w:r>
          </w:p>
        </w:tc>
        <w:tc>
          <w:tcPr>
            <w:tcW w:w="1073" w:type="dxa"/>
            <w:tcBorders>
              <w:top w:val="nil"/>
              <w:left w:val="nil"/>
              <w:bottom w:val="single" w:sz="4" w:space="0" w:color="auto"/>
              <w:right w:val="single" w:sz="4" w:space="0" w:color="auto"/>
            </w:tcBorders>
            <w:shd w:val="clear" w:color="auto" w:fill="auto"/>
            <w:noWrap/>
            <w:vAlign w:val="bottom"/>
            <w:hideMark/>
          </w:tcPr>
          <w:p w14:paraId="5E5E3A06"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19.4%</w:t>
            </w:r>
          </w:p>
        </w:tc>
        <w:tc>
          <w:tcPr>
            <w:tcW w:w="1073" w:type="dxa"/>
            <w:tcBorders>
              <w:top w:val="nil"/>
              <w:left w:val="nil"/>
              <w:bottom w:val="single" w:sz="4" w:space="0" w:color="auto"/>
              <w:right w:val="single" w:sz="4" w:space="0" w:color="auto"/>
            </w:tcBorders>
            <w:shd w:val="clear" w:color="auto" w:fill="auto"/>
            <w:noWrap/>
            <w:vAlign w:val="bottom"/>
            <w:hideMark/>
          </w:tcPr>
          <w:p w14:paraId="5FE4D756"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17.9%</w:t>
            </w:r>
          </w:p>
        </w:tc>
        <w:tc>
          <w:tcPr>
            <w:tcW w:w="1073" w:type="dxa"/>
            <w:tcBorders>
              <w:top w:val="nil"/>
              <w:left w:val="nil"/>
              <w:bottom w:val="single" w:sz="4" w:space="0" w:color="auto"/>
              <w:right w:val="single" w:sz="4" w:space="0" w:color="auto"/>
            </w:tcBorders>
            <w:shd w:val="clear" w:color="auto" w:fill="auto"/>
            <w:noWrap/>
            <w:vAlign w:val="bottom"/>
            <w:hideMark/>
          </w:tcPr>
          <w:p w14:paraId="6925F24E"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16.4%</w:t>
            </w:r>
          </w:p>
        </w:tc>
        <w:tc>
          <w:tcPr>
            <w:tcW w:w="1073" w:type="dxa"/>
            <w:tcBorders>
              <w:top w:val="nil"/>
              <w:left w:val="nil"/>
              <w:bottom w:val="single" w:sz="4" w:space="0" w:color="auto"/>
              <w:right w:val="single" w:sz="4" w:space="0" w:color="auto"/>
            </w:tcBorders>
            <w:shd w:val="clear" w:color="auto" w:fill="auto"/>
            <w:noWrap/>
            <w:vAlign w:val="bottom"/>
            <w:hideMark/>
          </w:tcPr>
          <w:p w14:paraId="6FCD8209"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14.9%</w:t>
            </w:r>
          </w:p>
        </w:tc>
        <w:tc>
          <w:tcPr>
            <w:tcW w:w="1073" w:type="dxa"/>
            <w:tcBorders>
              <w:top w:val="nil"/>
              <w:left w:val="nil"/>
              <w:bottom w:val="single" w:sz="4" w:space="0" w:color="auto"/>
              <w:right w:val="single" w:sz="4" w:space="0" w:color="auto"/>
            </w:tcBorders>
            <w:shd w:val="clear" w:color="auto" w:fill="auto"/>
            <w:noWrap/>
            <w:vAlign w:val="bottom"/>
            <w:hideMark/>
          </w:tcPr>
          <w:p w14:paraId="3A027C18"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13.4%</w:t>
            </w:r>
          </w:p>
        </w:tc>
        <w:tc>
          <w:tcPr>
            <w:tcW w:w="286" w:type="dxa"/>
            <w:tcBorders>
              <w:top w:val="nil"/>
              <w:left w:val="nil"/>
              <w:bottom w:val="nil"/>
              <w:right w:val="nil"/>
            </w:tcBorders>
            <w:shd w:val="clear" w:color="auto" w:fill="auto"/>
            <w:noWrap/>
            <w:vAlign w:val="bottom"/>
            <w:hideMark/>
          </w:tcPr>
          <w:p w14:paraId="0C5F830F" w14:textId="77777777" w:rsidR="00B840BF" w:rsidRPr="00B840BF" w:rsidRDefault="00B840BF" w:rsidP="00B840BF">
            <w:pPr>
              <w:spacing w:after="0"/>
              <w:rPr>
                <w:rFonts w:ascii="Calibri" w:eastAsia="Times New Roman" w:hAnsi="Calibri" w:cs="Calibri"/>
                <w:color w:val="000000"/>
                <w:sz w:val="22"/>
                <w:szCs w:val="22"/>
                <w:lang w:val="es-DO" w:eastAsia="es-DO"/>
              </w:rPr>
            </w:pPr>
          </w:p>
        </w:tc>
      </w:tr>
      <w:tr w:rsidR="00B840BF" w:rsidRPr="00B840BF" w14:paraId="1D0CD286" w14:textId="77777777" w:rsidTr="00464B32">
        <w:trPr>
          <w:trHeight w:val="287"/>
        </w:trPr>
        <w:tc>
          <w:tcPr>
            <w:tcW w:w="196" w:type="dxa"/>
            <w:tcBorders>
              <w:top w:val="nil"/>
              <w:left w:val="nil"/>
              <w:bottom w:val="nil"/>
              <w:right w:val="nil"/>
            </w:tcBorders>
            <w:shd w:val="clear" w:color="auto" w:fill="auto"/>
            <w:noWrap/>
            <w:vAlign w:val="bottom"/>
            <w:hideMark/>
          </w:tcPr>
          <w:p w14:paraId="1D704F98"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14:paraId="78AA388E" w14:textId="77777777" w:rsidR="00B840BF" w:rsidRPr="00B840BF" w:rsidRDefault="00B840BF" w:rsidP="00B840BF">
            <w:pPr>
              <w:spacing w:after="0"/>
              <w:rPr>
                <w:rFonts w:ascii="Calibri" w:eastAsia="Times New Roman" w:hAnsi="Calibri" w:cs="Calibri"/>
                <w:color w:val="000000"/>
                <w:sz w:val="22"/>
                <w:szCs w:val="22"/>
                <w:lang w:val="es-DO" w:eastAsia="es-DO"/>
              </w:rPr>
            </w:pPr>
            <w:proofErr w:type="spellStart"/>
            <w:r w:rsidRPr="00B840BF">
              <w:rPr>
                <w:rFonts w:ascii="Calibri" w:eastAsia="Times New Roman" w:hAnsi="Calibri" w:cs="Calibri"/>
                <w:color w:val="000000"/>
                <w:sz w:val="22"/>
                <w:szCs w:val="22"/>
                <w:lang w:val="es-DO" w:eastAsia="es-DO"/>
              </w:rPr>
              <w:t>Edeeste</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14:paraId="3548A496"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50.1%</w:t>
            </w:r>
          </w:p>
        </w:tc>
        <w:tc>
          <w:tcPr>
            <w:tcW w:w="1073" w:type="dxa"/>
            <w:tcBorders>
              <w:top w:val="nil"/>
              <w:left w:val="nil"/>
              <w:bottom w:val="single" w:sz="4" w:space="0" w:color="auto"/>
              <w:right w:val="single" w:sz="4" w:space="0" w:color="auto"/>
            </w:tcBorders>
            <w:shd w:val="clear" w:color="auto" w:fill="auto"/>
            <w:noWrap/>
            <w:vAlign w:val="bottom"/>
            <w:hideMark/>
          </w:tcPr>
          <w:p w14:paraId="3EDED1DA"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38.3%</w:t>
            </w:r>
          </w:p>
        </w:tc>
        <w:tc>
          <w:tcPr>
            <w:tcW w:w="1073" w:type="dxa"/>
            <w:tcBorders>
              <w:top w:val="nil"/>
              <w:left w:val="nil"/>
              <w:bottom w:val="single" w:sz="4" w:space="0" w:color="auto"/>
              <w:right w:val="single" w:sz="4" w:space="0" w:color="auto"/>
            </w:tcBorders>
            <w:shd w:val="clear" w:color="auto" w:fill="auto"/>
            <w:noWrap/>
            <w:vAlign w:val="bottom"/>
            <w:hideMark/>
          </w:tcPr>
          <w:p w14:paraId="05257D5A"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32.3%</w:t>
            </w:r>
          </w:p>
        </w:tc>
        <w:tc>
          <w:tcPr>
            <w:tcW w:w="1073" w:type="dxa"/>
            <w:tcBorders>
              <w:top w:val="nil"/>
              <w:left w:val="nil"/>
              <w:bottom w:val="single" w:sz="4" w:space="0" w:color="auto"/>
              <w:right w:val="single" w:sz="4" w:space="0" w:color="auto"/>
            </w:tcBorders>
            <w:shd w:val="clear" w:color="auto" w:fill="auto"/>
            <w:noWrap/>
            <w:vAlign w:val="bottom"/>
            <w:hideMark/>
          </w:tcPr>
          <w:p w14:paraId="0A46A16B"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28.3%</w:t>
            </w:r>
          </w:p>
        </w:tc>
        <w:tc>
          <w:tcPr>
            <w:tcW w:w="1073" w:type="dxa"/>
            <w:tcBorders>
              <w:top w:val="nil"/>
              <w:left w:val="nil"/>
              <w:bottom w:val="single" w:sz="4" w:space="0" w:color="auto"/>
              <w:right w:val="single" w:sz="4" w:space="0" w:color="auto"/>
            </w:tcBorders>
            <w:shd w:val="clear" w:color="auto" w:fill="auto"/>
            <w:noWrap/>
            <w:vAlign w:val="bottom"/>
            <w:hideMark/>
          </w:tcPr>
          <w:p w14:paraId="52AB306E"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25.3%</w:t>
            </w:r>
          </w:p>
        </w:tc>
        <w:tc>
          <w:tcPr>
            <w:tcW w:w="1073" w:type="dxa"/>
            <w:tcBorders>
              <w:top w:val="nil"/>
              <w:left w:val="nil"/>
              <w:bottom w:val="single" w:sz="4" w:space="0" w:color="auto"/>
              <w:right w:val="single" w:sz="4" w:space="0" w:color="auto"/>
            </w:tcBorders>
            <w:shd w:val="clear" w:color="auto" w:fill="auto"/>
            <w:noWrap/>
            <w:vAlign w:val="bottom"/>
            <w:hideMark/>
          </w:tcPr>
          <w:p w14:paraId="0C6DCC66"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22.3%</w:t>
            </w:r>
          </w:p>
        </w:tc>
        <w:tc>
          <w:tcPr>
            <w:tcW w:w="1073" w:type="dxa"/>
            <w:tcBorders>
              <w:top w:val="nil"/>
              <w:left w:val="nil"/>
              <w:bottom w:val="single" w:sz="4" w:space="0" w:color="auto"/>
              <w:right w:val="single" w:sz="4" w:space="0" w:color="auto"/>
            </w:tcBorders>
            <w:shd w:val="clear" w:color="auto" w:fill="auto"/>
            <w:noWrap/>
            <w:vAlign w:val="bottom"/>
            <w:hideMark/>
          </w:tcPr>
          <w:p w14:paraId="6B470FC3"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19.3%</w:t>
            </w:r>
          </w:p>
        </w:tc>
        <w:tc>
          <w:tcPr>
            <w:tcW w:w="286" w:type="dxa"/>
            <w:tcBorders>
              <w:top w:val="nil"/>
              <w:left w:val="nil"/>
              <w:bottom w:val="nil"/>
              <w:right w:val="nil"/>
            </w:tcBorders>
            <w:shd w:val="clear" w:color="auto" w:fill="auto"/>
            <w:noWrap/>
            <w:vAlign w:val="bottom"/>
            <w:hideMark/>
          </w:tcPr>
          <w:p w14:paraId="20349A36" w14:textId="77777777" w:rsidR="00B840BF" w:rsidRPr="00B840BF" w:rsidRDefault="00B840BF" w:rsidP="00B840BF">
            <w:pPr>
              <w:spacing w:after="0"/>
              <w:rPr>
                <w:rFonts w:ascii="Calibri" w:eastAsia="Times New Roman" w:hAnsi="Calibri" w:cs="Calibri"/>
                <w:color w:val="000000"/>
                <w:sz w:val="22"/>
                <w:szCs w:val="22"/>
                <w:lang w:val="es-DO" w:eastAsia="es-DO"/>
              </w:rPr>
            </w:pPr>
          </w:p>
        </w:tc>
      </w:tr>
      <w:tr w:rsidR="00B840BF" w:rsidRPr="00B840BF" w14:paraId="22C1C88F" w14:textId="77777777" w:rsidTr="00464B32">
        <w:trPr>
          <w:trHeight w:val="115"/>
        </w:trPr>
        <w:tc>
          <w:tcPr>
            <w:tcW w:w="196" w:type="dxa"/>
            <w:tcBorders>
              <w:top w:val="nil"/>
              <w:left w:val="nil"/>
              <w:bottom w:val="nil"/>
              <w:right w:val="nil"/>
            </w:tcBorders>
            <w:shd w:val="clear" w:color="auto" w:fill="auto"/>
            <w:noWrap/>
            <w:vAlign w:val="bottom"/>
            <w:hideMark/>
          </w:tcPr>
          <w:p w14:paraId="0FF52E68"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493" w:type="dxa"/>
            <w:tcBorders>
              <w:top w:val="nil"/>
              <w:left w:val="nil"/>
              <w:bottom w:val="nil"/>
              <w:right w:val="nil"/>
            </w:tcBorders>
            <w:shd w:val="clear" w:color="auto" w:fill="auto"/>
            <w:noWrap/>
            <w:vAlign w:val="bottom"/>
            <w:hideMark/>
          </w:tcPr>
          <w:p w14:paraId="4C020972"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05314710"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4E7FF2D3"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1D936378"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3A5BABC4"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69D94861"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4FBAAAB2"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4733595D"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286" w:type="dxa"/>
            <w:tcBorders>
              <w:top w:val="nil"/>
              <w:left w:val="nil"/>
              <w:bottom w:val="nil"/>
              <w:right w:val="nil"/>
            </w:tcBorders>
            <w:shd w:val="clear" w:color="auto" w:fill="auto"/>
            <w:noWrap/>
            <w:vAlign w:val="bottom"/>
            <w:hideMark/>
          </w:tcPr>
          <w:p w14:paraId="17F81171"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r>
      <w:tr w:rsidR="00B840BF" w:rsidRPr="00B840BF" w14:paraId="6CB2DF43" w14:textId="77777777" w:rsidTr="00464B32">
        <w:trPr>
          <w:trHeight w:val="287"/>
        </w:trPr>
        <w:tc>
          <w:tcPr>
            <w:tcW w:w="196" w:type="dxa"/>
            <w:tcBorders>
              <w:top w:val="nil"/>
              <w:left w:val="nil"/>
              <w:bottom w:val="nil"/>
              <w:right w:val="nil"/>
            </w:tcBorders>
            <w:shd w:val="clear" w:color="auto" w:fill="auto"/>
            <w:noWrap/>
            <w:vAlign w:val="bottom"/>
            <w:hideMark/>
          </w:tcPr>
          <w:p w14:paraId="7F37EBBD"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BB10A" w14:textId="77777777" w:rsidR="00B840BF" w:rsidRPr="00B840BF" w:rsidRDefault="00B840BF" w:rsidP="00B840BF">
            <w:pPr>
              <w:spacing w:after="0"/>
              <w:jc w:val="left"/>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Cobranzas</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1BA39E62"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94.4%</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6EFFCF98"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96.0%</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66CBEAAF"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96.0%</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37F72E24"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97.0%</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20B1EA81"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97.0%</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647E1F04"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97.0%</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5578D995"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97.0%</w:t>
            </w:r>
          </w:p>
        </w:tc>
        <w:tc>
          <w:tcPr>
            <w:tcW w:w="286" w:type="dxa"/>
            <w:tcBorders>
              <w:top w:val="nil"/>
              <w:left w:val="nil"/>
              <w:bottom w:val="nil"/>
              <w:right w:val="nil"/>
            </w:tcBorders>
            <w:shd w:val="clear" w:color="auto" w:fill="auto"/>
            <w:noWrap/>
            <w:vAlign w:val="bottom"/>
            <w:hideMark/>
          </w:tcPr>
          <w:p w14:paraId="18401002" w14:textId="77777777" w:rsidR="00B840BF" w:rsidRPr="00B840BF" w:rsidRDefault="00B840BF" w:rsidP="00B840BF">
            <w:pPr>
              <w:spacing w:after="0"/>
              <w:rPr>
                <w:rFonts w:ascii="Calibri" w:eastAsia="Times New Roman" w:hAnsi="Calibri" w:cs="Calibri"/>
                <w:b/>
                <w:bCs/>
                <w:color w:val="000000"/>
                <w:sz w:val="22"/>
                <w:szCs w:val="22"/>
                <w:lang w:val="es-DO" w:eastAsia="es-DO"/>
              </w:rPr>
            </w:pPr>
          </w:p>
        </w:tc>
      </w:tr>
      <w:tr w:rsidR="00B840BF" w:rsidRPr="00B840BF" w14:paraId="57BE6C1D" w14:textId="77777777" w:rsidTr="00464B32">
        <w:trPr>
          <w:trHeight w:val="287"/>
        </w:trPr>
        <w:tc>
          <w:tcPr>
            <w:tcW w:w="196" w:type="dxa"/>
            <w:tcBorders>
              <w:top w:val="nil"/>
              <w:left w:val="nil"/>
              <w:bottom w:val="nil"/>
              <w:right w:val="nil"/>
            </w:tcBorders>
            <w:shd w:val="clear" w:color="auto" w:fill="auto"/>
            <w:noWrap/>
            <w:vAlign w:val="bottom"/>
            <w:hideMark/>
          </w:tcPr>
          <w:p w14:paraId="252BF292"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14:paraId="22058DCD" w14:textId="77777777" w:rsidR="00B840BF" w:rsidRPr="00B840BF" w:rsidRDefault="00B840BF" w:rsidP="00B840BF">
            <w:pPr>
              <w:spacing w:after="0"/>
              <w:rPr>
                <w:rFonts w:ascii="Calibri" w:eastAsia="Times New Roman" w:hAnsi="Calibri" w:cs="Calibri"/>
                <w:color w:val="000000"/>
                <w:sz w:val="22"/>
                <w:szCs w:val="22"/>
                <w:lang w:val="es-DO" w:eastAsia="es-DO"/>
              </w:rPr>
            </w:pPr>
            <w:proofErr w:type="spellStart"/>
            <w:r w:rsidRPr="00B840BF">
              <w:rPr>
                <w:rFonts w:ascii="Calibri" w:eastAsia="Times New Roman" w:hAnsi="Calibri" w:cs="Calibri"/>
                <w:color w:val="000000"/>
                <w:sz w:val="22"/>
                <w:szCs w:val="22"/>
                <w:lang w:val="es-DO" w:eastAsia="es-DO"/>
              </w:rPr>
              <w:t>Edenorte</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14:paraId="4A1DC53E"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96.5%</w:t>
            </w:r>
          </w:p>
        </w:tc>
        <w:tc>
          <w:tcPr>
            <w:tcW w:w="1073" w:type="dxa"/>
            <w:tcBorders>
              <w:top w:val="nil"/>
              <w:left w:val="nil"/>
              <w:bottom w:val="single" w:sz="4" w:space="0" w:color="auto"/>
              <w:right w:val="single" w:sz="4" w:space="0" w:color="auto"/>
            </w:tcBorders>
            <w:shd w:val="clear" w:color="auto" w:fill="auto"/>
            <w:noWrap/>
            <w:vAlign w:val="bottom"/>
            <w:hideMark/>
          </w:tcPr>
          <w:p w14:paraId="7324B835"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96.0%</w:t>
            </w:r>
          </w:p>
        </w:tc>
        <w:tc>
          <w:tcPr>
            <w:tcW w:w="1073" w:type="dxa"/>
            <w:tcBorders>
              <w:top w:val="nil"/>
              <w:left w:val="nil"/>
              <w:bottom w:val="single" w:sz="4" w:space="0" w:color="auto"/>
              <w:right w:val="single" w:sz="4" w:space="0" w:color="auto"/>
            </w:tcBorders>
            <w:shd w:val="clear" w:color="auto" w:fill="auto"/>
            <w:noWrap/>
            <w:vAlign w:val="bottom"/>
            <w:hideMark/>
          </w:tcPr>
          <w:p w14:paraId="62BBBD8A"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96.0%</w:t>
            </w:r>
          </w:p>
        </w:tc>
        <w:tc>
          <w:tcPr>
            <w:tcW w:w="1073" w:type="dxa"/>
            <w:tcBorders>
              <w:top w:val="nil"/>
              <w:left w:val="nil"/>
              <w:bottom w:val="single" w:sz="4" w:space="0" w:color="auto"/>
              <w:right w:val="single" w:sz="4" w:space="0" w:color="auto"/>
            </w:tcBorders>
            <w:shd w:val="clear" w:color="auto" w:fill="auto"/>
            <w:noWrap/>
            <w:vAlign w:val="bottom"/>
            <w:hideMark/>
          </w:tcPr>
          <w:p w14:paraId="576353BD"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97.0%</w:t>
            </w:r>
          </w:p>
        </w:tc>
        <w:tc>
          <w:tcPr>
            <w:tcW w:w="1073" w:type="dxa"/>
            <w:tcBorders>
              <w:top w:val="nil"/>
              <w:left w:val="nil"/>
              <w:bottom w:val="single" w:sz="4" w:space="0" w:color="auto"/>
              <w:right w:val="single" w:sz="4" w:space="0" w:color="auto"/>
            </w:tcBorders>
            <w:shd w:val="clear" w:color="auto" w:fill="auto"/>
            <w:noWrap/>
            <w:vAlign w:val="bottom"/>
            <w:hideMark/>
          </w:tcPr>
          <w:p w14:paraId="18905620"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97.0%</w:t>
            </w:r>
          </w:p>
        </w:tc>
        <w:tc>
          <w:tcPr>
            <w:tcW w:w="1073" w:type="dxa"/>
            <w:tcBorders>
              <w:top w:val="nil"/>
              <w:left w:val="nil"/>
              <w:bottom w:val="single" w:sz="4" w:space="0" w:color="auto"/>
              <w:right w:val="single" w:sz="4" w:space="0" w:color="auto"/>
            </w:tcBorders>
            <w:shd w:val="clear" w:color="auto" w:fill="auto"/>
            <w:noWrap/>
            <w:vAlign w:val="bottom"/>
            <w:hideMark/>
          </w:tcPr>
          <w:p w14:paraId="7444C2A4"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97.0%</w:t>
            </w:r>
          </w:p>
        </w:tc>
        <w:tc>
          <w:tcPr>
            <w:tcW w:w="1073" w:type="dxa"/>
            <w:tcBorders>
              <w:top w:val="nil"/>
              <w:left w:val="nil"/>
              <w:bottom w:val="single" w:sz="4" w:space="0" w:color="auto"/>
              <w:right w:val="single" w:sz="4" w:space="0" w:color="auto"/>
            </w:tcBorders>
            <w:shd w:val="clear" w:color="auto" w:fill="auto"/>
            <w:noWrap/>
            <w:vAlign w:val="bottom"/>
            <w:hideMark/>
          </w:tcPr>
          <w:p w14:paraId="0CEC168D"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97.0%</w:t>
            </w:r>
          </w:p>
        </w:tc>
        <w:tc>
          <w:tcPr>
            <w:tcW w:w="286" w:type="dxa"/>
            <w:tcBorders>
              <w:top w:val="nil"/>
              <w:left w:val="nil"/>
              <w:bottom w:val="nil"/>
              <w:right w:val="nil"/>
            </w:tcBorders>
            <w:shd w:val="clear" w:color="auto" w:fill="auto"/>
            <w:noWrap/>
            <w:vAlign w:val="bottom"/>
            <w:hideMark/>
          </w:tcPr>
          <w:p w14:paraId="5829D432" w14:textId="77777777" w:rsidR="00B840BF" w:rsidRPr="00B840BF" w:rsidRDefault="00B840BF" w:rsidP="00B840BF">
            <w:pPr>
              <w:spacing w:after="0"/>
              <w:rPr>
                <w:rFonts w:ascii="Calibri" w:eastAsia="Times New Roman" w:hAnsi="Calibri" w:cs="Calibri"/>
                <w:color w:val="000000"/>
                <w:sz w:val="22"/>
                <w:szCs w:val="22"/>
                <w:lang w:val="es-DO" w:eastAsia="es-DO"/>
              </w:rPr>
            </w:pPr>
          </w:p>
        </w:tc>
      </w:tr>
      <w:tr w:rsidR="00B840BF" w:rsidRPr="00B840BF" w14:paraId="2266017E" w14:textId="77777777" w:rsidTr="00464B32">
        <w:trPr>
          <w:trHeight w:val="287"/>
        </w:trPr>
        <w:tc>
          <w:tcPr>
            <w:tcW w:w="196" w:type="dxa"/>
            <w:tcBorders>
              <w:top w:val="nil"/>
              <w:left w:val="nil"/>
              <w:bottom w:val="nil"/>
              <w:right w:val="nil"/>
            </w:tcBorders>
            <w:shd w:val="clear" w:color="auto" w:fill="auto"/>
            <w:noWrap/>
            <w:vAlign w:val="bottom"/>
            <w:hideMark/>
          </w:tcPr>
          <w:p w14:paraId="3F46683B"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14:paraId="0B197528"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 xml:space="preserve">Edesur </w:t>
            </w:r>
          </w:p>
        </w:tc>
        <w:tc>
          <w:tcPr>
            <w:tcW w:w="1073" w:type="dxa"/>
            <w:tcBorders>
              <w:top w:val="nil"/>
              <w:left w:val="nil"/>
              <w:bottom w:val="single" w:sz="4" w:space="0" w:color="auto"/>
              <w:right w:val="single" w:sz="4" w:space="0" w:color="auto"/>
            </w:tcBorders>
            <w:shd w:val="clear" w:color="auto" w:fill="auto"/>
            <w:noWrap/>
            <w:vAlign w:val="bottom"/>
            <w:hideMark/>
          </w:tcPr>
          <w:p w14:paraId="6AB02B36"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93.9%</w:t>
            </w:r>
          </w:p>
        </w:tc>
        <w:tc>
          <w:tcPr>
            <w:tcW w:w="1073" w:type="dxa"/>
            <w:tcBorders>
              <w:top w:val="nil"/>
              <w:left w:val="nil"/>
              <w:bottom w:val="single" w:sz="4" w:space="0" w:color="auto"/>
              <w:right w:val="single" w:sz="4" w:space="0" w:color="auto"/>
            </w:tcBorders>
            <w:shd w:val="clear" w:color="auto" w:fill="auto"/>
            <w:noWrap/>
            <w:vAlign w:val="bottom"/>
            <w:hideMark/>
          </w:tcPr>
          <w:p w14:paraId="0376B2DA"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96.0%</w:t>
            </w:r>
          </w:p>
        </w:tc>
        <w:tc>
          <w:tcPr>
            <w:tcW w:w="1073" w:type="dxa"/>
            <w:tcBorders>
              <w:top w:val="nil"/>
              <w:left w:val="nil"/>
              <w:bottom w:val="single" w:sz="4" w:space="0" w:color="auto"/>
              <w:right w:val="single" w:sz="4" w:space="0" w:color="auto"/>
            </w:tcBorders>
            <w:shd w:val="clear" w:color="auto" w:fill="auto"/>
            <w:noWrap/>
            <w:vAlign w:val="bottom"/>
            <w:hideMark/>
          </w:tcPr>
          <w:p w14:paraId="7BB80ED0"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96.0%</w:t>
            </w:r>
          </w:p>
        </w:tc>
        <w:tc>
          <w:tcPr>
            <w:tcW w:w="1073" w:type="dxa"/>
            <w:tcBorders>
              <w:top w:val="nil"/>
              <w:left w:val="nil"/>
              <w:bottom w:val="single" w:sz="4" w:space="0" w:color="auto"/>
              <w:right w:val="single" w:sz="4" w:space="0" w:color="auto"/>
            </w:tcBorders>
            <w:shd w:val="clear" w:color="auto" w:fill="auto"/>
            <w:noWrap/>
            <w:vAlign w:val="bottom"/>
            <w:hideMark/>
          </w:tcPr>
          <w:p w14:paraId="5F1D358D"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97.0%</w:t>
            </w:r>
          </w:p>
        </w:tc>
        <w:tc>
          <w:tcPr>
            <w:tcW w:w="1073" w:type="dxa"/>
            <w:tcBorders>
              <w:top w:val="nil"/>
              <w:left w:val="nil"/>
              <w:bottom w:val="single" w:sz="4" w:space="0" w:color="auto"/>
              <w:right w:val="single" w:sz="4" w:space="0" w:color="auto"/>
            </w:tcBorders>
            <w:shd w:val="clear" w:color="auto" w:fill="auto"/>
            <w:noWrap/>
            <w:vAlign w:val="bottom"/>
            <w:hideMark/>
          </w:tcPr>
          <w:p w14:paraId="7E9C42F4"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97.0%</w:t>
            </w:r>
          </w:p>
        </w:tc>
        <w:tc>
          <w:tcPr>
            <w:tcW w:w="1073" w:type="dxa"/>
            <w:tcBorders>
              <w:top w:val="nil"/>
              <w:left w:val="nil"/>
              <w:bottom w:val="single" w:sz="4" w:space="0" w:color="auto"/>
              <w:right w:val="single" w:sz="4" w:space="0" w:color="auto"/>
            </w:tcBorders>
            <w:shd w:val="clear" w:color="auto" w:fill="auto"/>
            <w:noWrap/>
            <w:vAlign w:val="bottom"/>
            <w:hideMark/>
          </w:tcPr>
          <w:p w14:paraId="4BC17796"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97.0%</w:t>
            </w:r>
          </w:p>
        </w:tc>
        <w:tc>
          <w:tcPr>
            <w:tcW w:w="1073" w:type="dxa"/>
            <w:tcBorders>
              <w:top w:val="nil"/>
              <w:left w:val="nil"/>
              <w:bottom w:val="single" w:sz="4" w:space="0" w:color="auto"/>
              <w:right w:val="single" w:sz="4" w:space="0" w:color="auto"/>
            </w:tcBorders>
            <w:shd w:val="clear" w:color="auto" w:fill="auto"/>
            <w:noWrap/>
            <w:vAlign w:val="bottom"/>
            <w:hideMark/>
          </w:tcPr>
          <w:p w14:paraId="58159387"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97.0%</w:t>
            </w:r>
          </w:p>
        </w:tc>
        <w:tc>
          <w:tcPr>
            <w:tcW w:w="286" w:type="dxa"/>
            <w:tcBorders>
              <w:top w:val="nil"/>
              <w:left w:val="nil"/>
              <w:bottom w:val="nil"/>
              <w:right w:val="nil"/>
            </w:tcBorders>
            <w:shd w:val="clear" w:color="auto" w:fill="auto"/>
            <w:noWrap/>
            <w:vAlign w:val="bottom"/>
            <w:hideMark/>
          </w:tcPr>
          <w:p w14:paraId="4EC97A4F" w14:textId="77777777" w:rsidR="00B840BF" w:rsidRPr="00B840BF" w:rsidRDefault="00B840BF" w:rsidP="00B840BF">
            <w:pPr>
              <w:spacing w:after="0"/>
              <w:rPr>
                <w:rFonts w:ascii="Calibri" w:eastAsia="Times New Roman" w:hAnsi="Calibri" w:cs="Calibri"/>
                <w:color w:val="000000"/>
                <w:sz w:val="22"/>
                <w:szCs w:val="22"/>
                <w:lang w:val="es-DO" w:eastAsia="es-DO"/>
              </w:rPr>
            </w:pPr>
          </w:p>
        </w:tc>
      </w:tr>
      <w:tr w:rsidR="00B840BF" w:rsidRPr="00B840BF" w14:paraId="4E4A6E51" w14:textId="77777777" w:rsidTr="00464B32">
        <w:trPr>
          <w:trHeight w:val="287"/>
        </w:trPr>
        <w:tc>
          <w:tcPr>
            <w:tcW w:w="196" w:type="dxa"/>
            <w:tcBorders>
              <w:top w:val="nil"/>
              <w:left w:val="nil"/>
              <w:bottom w:val="nil"/>
              <w:right w:val="nil"/>
            </w:tcBorders>
            <w:shd w:val="clear" w:color="auto" w:fill="auto"/>
            <w:noWrap/>
            <w:vAlign w:val="bottom"/>
            <w:hideMark/>
          </w:tcPr>
          <w:p w14:paraId="3E53FB9E"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14:paraId="36E8A2C2" w14:textId="77777777" w:rsidR="00B840BF" w:rsidRPr="00B840BF" w:rsidRDefault="00B840BF" w:rsidP="00B840BF">
            <w:pPr>
              <w:spacing w:after="0"/>
              <w:rPr>
                <w:rFonts w:ascii="Calibri" w:eastAsia="Times New Roman" w:hAnsi="Calibri" w:cs="Calibri"/>
                <w:color w:val="000000"/>
                <w:sz w:val="22"/>
                <w:szCs w:val="22"/>
                <w:lang w:val="es-DO" w:eastAsia="es-DO"/>
              </w:rPr>
            </w:pPr>
            <w:proofErr w:type="spellStart"/>
            <w:r w:rsidRPr="00B840BF">
              <w:rPr>
                <w:rFonts w:ascii="Calibri" w:eastAsia="Times New Roman" w:hAnsi="Calibri" w:cs="Calibri"/>
                <w:color w:val="000000"/>
                <w:sz w:val="22"/>
                <w:szCs w:val="22"/>
                <w:lang w:val="es-DO" w:eastAsia="es-DO"/>
              </w:rPr>
              <w:t>Edeeste</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14:paraId="15B8B576"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92.6%</w:t>
            </w:r>
          </w:p>
        </w:tc>
        <w:tc>
          <w:tcPr>
            <w:tcW w:w="1073" w:type="dxa"/>
            <w:tcBorders>
              <w:top w:val="nil"/>
              <w:left w:val="nil"/>
              <w:bottom w:val="single" w:sz="4" w:space="0" w:color="auto"/>
              <w:right w:val="single" w:sz="4" w:space="0" w:color="auto"/>
            </w:tcBorders>
            <w:shd w:val="clear" w:color="auto" w:fill="auto"/>
            <w:noWrap/>
            <w:vAlign w:val="bottom"/>
            <w:hideMark/>
          </w:tcPr>
          <w:p w14:paraId="6A162032"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96.0%</w:t>
            </w:r>
          </w:p>
        </w:tc>
        <w:tc>
          <w:tcPr>
            <w:tcW w:w="1073" w:type="dxa"/>
            <w:tcBorders>
              <w:top w:val="nil"/>
              <w:left w:val="nil"/>
              <w:bottom w:val="single" w:sz="4" w:space="0" w:color="auto"/>
              <w:right w:val="single" w:sz="4" w:space="0" w:color="auto"/>
            </w:tcBorders>
            <w:shd w:val="clear" w:color="auto" w:fill="auto"/>
            <w:noWrap/>
            <w:vAlign w:val="bottom"/>
            <w:hideMark/>
          </w:tcPr>
          <w:p w14:paraId="6DDDFE12"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96.0%</w:t>
            </w:r>
          </w:p>
        </w:tc>
        <w:tc>
          <w:tcPr>
            <w:tcW w:w="1073" w:type="dxa"/>
            <w:tcBorders>
              <w:top w:val="nil"/>
              <w:left w:val="nil"/>
              <w:bottom w:val="single" w:sz="4" w:space="0" w:color="auto"/>
              <w:right w:val="single" w:sz="4" w:space="0" w:color="auto"/>
            </w:tcBorders>
            <w:shd w:val="clear" w:color="auto" w:fill="auto"/>
            <w:noWrap/>
            <w:vAlign w:val="bottom"/>
            <w:hideMark/>
          </w:tcPr>
          <w:p w14:paraId="7868E58E"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97.0%</w:t>
            </w:r>
          </w:p>
        </w:tc>
        <w:tc>
          <w:tcPr>
            <w:tcW w:w="1073" w:type="dxa"/>
            <w:tcBorders>
              <w:top w:val="nil"/>
              <w:left w:val="nil"/>
              <w:bottom w:val="single" w:sz="4" w:space="0" w:color="auto"/>
              <w:right w:val="single" w:sz="4" w:space="0" w:color="auto"/>
            </w:tcBorders>
            <w:shd w:val="clear" w:color="auto" w:fill="auto"/>
            <w:noWrap/>
            <w:vAlign w:val="bottom"/>
            <w:hideMark/>
          </w:tcPr>
          <w:p w14:paraId="6B3B83E0"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97.0%</w:t>
            </w:r>
          </w:p>
        </w:tc>
        <w:tc>
          <w:tcPr>
            <w:tcW w:w="1073" w:type="dxa"/>
            <w:tcBorders>
              <w:top w:val="nil"/>
              <w:left w:val="nil"/>
              <w:bottom w:val="single" w:sz="4" w:space="0" w:color="auto"/>
              <w:right w:val="single" w:sz="4" w:space="0" w:color="auto"/>
            </w:tcBorders>
            <w:shd w:val="clear" w:color="auto" w:fill="auto"/>
            <w:noWrap/>
            <w:vAlign w:val="bottom"/>
            <w:hideMark/>
          </w:tcPr>
          <w:p w14:paraId="653F1BFD"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97.0%</w:t>
            </w:r>
          </w:p>
        </w:tc>
        <w:tc>
          <w:tcPr>
            <w:tcW w:w="1073" w:type="dxa"/>
            <w:tcBorders>
              <w:top w:val="nil"/>
              <w:left w:val="nil"/>
              <w:bottom w:val="single" w:sz="4" w:space="0" w:color="auto"/>
              <w:right w:val="single" w:sz="4" w:space="0" w:color="auto"/>
            </w:tcBorders>
            <w:shd w:val="clear" w:color="auto" w:fill="auto"/>
            <w:noWrap/>
            <w:vAlign w:val="bottom"/>
            <w:hideMark/>
          </w:tcPr>
          <w:p w14:paraId="41219D3D"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97.0%</w:t>
            </w:r>
          </w:p>
        </w:tc>
        <w:tc>
          <w:tcPr>
            <w:tcW w:w="286" w:type="dxa"/>
            <w:tcBorders>
              <w:top w:val="nil"/>
              <w:left w:val="nil"/>
              <w:bottom w:val="nil"/>
              <w:right w:val="nil"/>
            </w:tcBorders>
            <w:shd w:val="clear" w:color="auto" w:fill="auto"/>
            <w:noWrap/>
            <w:vAlign w:val="bottom"/>
            <w:hideMark/>
          </w:tcPr>
          <w:p w14:paraId="419A0F51" w14:textId="77777777" w:rsidR="00B840BF" w:rsidRPr="00B840BF" w:rsidRDefault="00B840BF" w:rsidP="00B840BF">
            <w:pPr>
              <w:spacing w:after="0"/>
              <w:rPr>
                <w:rFonts w:ascii="Calibri" w:eastAsia="Times New Roman" w:hAnsi="Calibri" w:cs="Calibri"/>
                <w:color w:val="000000"/>
                <w:sz w:val="22"/>
                <w:szCs w:val="22"/>
                <w:lang w:val="es-DO" w:eastAsia="es-DO"/>
              </w:rPr>
            </w:pPr>
          </w:p>
        </w:tc>
      </w:tr>
      <w:tr w:rsidR="00B840BF" w:rsidRPr="00B840BF" w14:paraId="685516ED" w14:textId="77777777" w:rsidTr="00464B32">
        <w:trPr>
          <w:trHeight w:val="115"/>
        </w:trPr>
        <w:tc>
          <w:tcPr>
            <w:tcW w:w="196" w:type="dxa"/>
            <w:tcBorders>
              <w:top w:val="nil"/>
              <w:left w:val="nil"/>
              <w:bottom w:val="nil"/>
              <w:right w:val="nil"/>
            </w:tcBorders>
            <w:shd w:val="clear" w:color="auto" w:fill="auto"/>
            <w:noWrap/>
            <w:vAlign w:val="bottom"/>
            <w:hideMark/>
          </w:tcPr>
          <w:p w14:paraId="1876F5BD"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493" w:type="dxa"/>
            <w:tcBorders>
              <w:top w:val="nil"/>
              <w:left w:val="nil"/>
              <w:bottom w:val="nil"/>
              <w:right w:val="nil"/>
            </w:tcBorders>
            <w:shd w:val="clear" w:color="auto" w:fill="auto"/>
            <w:noWrap/>
            <w:vAlign w:val="bottom"/>
            <w:hideMark/>
          </w:tcPr>
          <w:p w14:paraId="26BE251C"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67A267A7"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5C6F729E"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3A8D0864"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4F87BADF"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2518CEFC"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43C96872"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20B8C185"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286" w:type="dxa"/>
            <w:tcBorders>
              <w:top w:val="nil"/>
              <w:left w:val="nil"/>
              <w:bottom w:val="nil"/>
              <w:right w:val="nil"/>
            </w:tcBorders>
            <w:shd w:val="clear" w:color="auto" w:fill="auto"/>
            <w:noWrap/>
            <w:vAlign w:val="bottom"/>
            <w:hideMark/>
          </w:tcPr>
          <w:p w14:paraId="6AE4D891"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r>
      <w:tr w:rsidR="00B840BF" w:rsidRPr="00B840BF" w14:paraId="196AA76A" w14:textId="77777777" w:rsidTr="00464B32">
        <w:trPr>
          <w:trHeight w:val="287"/>
        </w:trPr>
        <w:tc>
          <w:tcPr>
            <w:tcW w:w="196" w:type="dxa"/>
            <w:tcBorders>
              <w:top w:val="nil"/>
              <w:left w:val="nil"/>
              <w:bottom w:val="nil"/>
              <w:right w:val="nil"/>
            </w:tcBorders>
            <w:shd w:val="clear" w:color="auto" w:fill="auto"/>
            <w:noWrap/>
            <w:vAlign w:val="bottom"/>
            <w:hideMark/>
          </w:tcPr>
          <w:p w14:paraId="235D83CD"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6130F" w14:textId="77777777" w:rsidR="00B840BF" w:rsidRPr="00B840BF" w:rsidRDefault="00B840BF" w:rsidP="00B840BF">
            <w:pPr>
              <w:spacing w:after="0"/>
              <w:jc w:val="left"/>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Disponibilidad</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7965FA24"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96.0%</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583A3329"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90.0%</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4BC97DF1"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91.5%</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0BF15C6C"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93.0%</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457354DB"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94.0%</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748B232E"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95.0%</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18D1A2CF"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97.0%</w:t>
            </w:r>
          </w:p>
        </w:tc>
        <w:tc>
          <w:tcPr>
            <w:tcW w:w="286" w:type="dxa"/>
            <w:tcBorders>
              <w:top w:val="nil"/>
              <w:left w:val="nil"/>
              <w:bottom w:val="nil"/>
              <w:right w:val="nil"/>
            </w:tcBorders>
            <w:shd w:val="clear" w:color="auto" w:fill="auto"/>
            <w:noWrap/>
            <w:vAlign w:val="bottom"/>
            <w:hideMark/>
          </w:tcPr>
          <w:p w14:paraId="3D5FA5DB" w14:textId="77777777" w:rsidR="00B840BF" w:rsidRPr="00B840BF" w:rsidRDefault="00B840BF" w:rsidP="00B840BF">
            <w:pPr>
              <w:spacing w:after="0"/>
              <w:rPr>
                <w:rFonts w:ascii="Calibri" w:eastAsia="Times New Roman" w:hAnsi="Calibri" w:cs="Calibri"/>
                <w:b/>
                <w:bCs/>
                <w:color w:val="000000"/>
                <w:sz w:val="22"/>
                <w:szCs w:val="22"/>
                <w:lang w:val="es-DO" w:eastAsia="es-DO"/>
              </w:rPr>
            </w:pPr>
          </w:p>
        </w:tc>
      </w:tr>
      <w:tr w:rsidR="00B840BF" w:rsidRPr="00B840BF" w14:paraId="164FBB2D" w14:textId="77777777" w:rsidTr="00464B32">
        <w:trPr>
          <w:trHeight w:val="287"/>
        </w:trPr>
        <w:tc>
          <w:tcPr>
            <w:tcW w:w="196" w:type="dxa"/>
            <w:tcBorders>
              <w:top w:val="nil"/>
              <w:left w:val="nil"/>
              <w:bottom w:val="nil"/>
              <w:right w:val="nil"/>
            </w:tcBorders>
            <w:shd w:val="clear" w:color="auto" w:fill="auto"/>
            <w:noWrap/>
            <w:vAlign w:val="bottom"/>
            <w:hideMark/>
          </w:tcPr>
          <w:p w14:paraId="2BA553B8"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14:paraId="008974E4" w14:textId="77777777" w:rsidR="00B840BF" w:rsidRPr="00B840BF" w:rsidRDefault="00B840BF" w:rsidP="00B840BF">
            <w:pPr>
              <w:spacing w:after="0"/>
              <w:rPr>
                <w:rFonts w:ascii="Calibri" w:eastAsia="Times New Roman" w:hAnsi="Calibri" w:cs="Calibri"/>
                <w:color w:val="000000"/>
                <w:sz w:val="22"/>
                <w:szCs w:val="22"/>
                <w:lang w:val="es-DO" w:eastAsia="es-DO"/>
              </w:rPr>
            </w:pPr>
            <w:proofErr w:type="spellStart"/>
            <w:r w:rsidRPr="00B840BF">
              <w:rPr>
                <w:rFonts w:ascii="Calibri" w:eastAsia="Times New Roman" w:hAnsi="Calibri" w:cs="Calibri"/>
                <w:color w:val="000000"/>
                <w:sz w:val="22"/>
                <w:szCs w:val="22"/>
                <w:lang w:val="es-DO" w:eastAsia="es-DO"/>
              </w:rPr>
              <w:t>Edenorte</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14:paraId="34560766"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97.8%</w:t>
            </w:r>
          </w:p>
        </w:tc>
        <w:tc>
          <w:tcPr>
            <w:tcW w:w="1073" w:type="dxa"/>
            <w:tcBorders>
              <w:top w:val="nil"/>
              <w:left w:val="nil"/>
              <w:bottom w:val="single" w:sz="4" w:space="0" w:color="auto"/>
              <w:right w:val="single" w:sz="4" w:space="0" w:color="auto"/>
            </w:tcBorders>
            <w:shd w:val="clear" w:color="auto" w:fill="auto"/>
            <w:noWrap/>
            <w:vAlign w:val="bottom"/>
            <w:hideMark/>
          </w:tcPr>
          <w:p w14:paraId="6366B337"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92.0%</w:t>
            </w:r>
          </w:p>
        </w:tc>
        <w:tc>
          <w:tcPr>
            <w:tcW w:w="1073" w:type="dxa"/>
            <w:tcBorders>
              <w:top w:val="nil"/>
              <w:left w:val="nil"/>
              <w:bottom w:val="single" w:sz="4" w:space="0" w:color="auto"/>
              <w:right w:val="single" w:sz="4" w:space="0" w:color="auto"/>
            </w:tcBorders>
            <w:shd w:val="clear" w:color="auto" w:fill="auto"/>
            <w:noWrap/>
            <w:vAlign w:val="bottom"/>
            <w:hideMark/>
          </w:tcPr>
          <w:p w14:paraId="75F61E2E"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92.0%</w:t>
            </w:r>
          </w:p>
        </w:tc>
        <w:tc>
          <w:tcPr>
            <w:tcW w:w="1073" w:type="dxa"/>
            <w:tcBorders>
              <w:top w:val="nil"/>
              <w:left w:val="nil"/>
              <w:bottom w:val="single" w:sz="4" w:space="0" w:color="auto"/>
              <w:right w:val="single" w:sz="4" w:space="0" w:color="auto"/>
            </w:tcBorders>
            <w:shd w:val="clear" w:color="auto" w:fill="auto"/>
            <w:noWrap/>
            <w:vAlign w:val="bottom"/>
            <w:hideMark/>
          </w:tcPr>
          <w:p w14:paraId="7DF0C118"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93.0%</w:t>
            </w:r>
          </w:p>
        </w:tc>
        <w:tc>
          <w:tcPr>
            <w:tcW w:w="1073" w:type="dxa"/>
            <w:tcBorders>
              <w:top w:val="nil"/>
              <w:left w:val="nil"/>
              <w:bottom w:val="single" w:sz="4" w:space="0" w:color="auto"/>
              <w:right w:val="single" w:sz="4" w:space="0" w:color="auto"/>
            </w:tcBorders>
            <w:shd w:val="clear" w:color="auto" w:fill="auto"/>
            <w:noWrap/>
            <w:vAlign w:val="bottom"/>
            <w:hideMark/>
          </w:tcPr>
          <w:p w14:paraId="182CB5A0"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94.0%</w:t>
            </w:r>
          </w:p>
        </w:tc>
        <w:tc>
          <w:tcPr>
            <w:tcW w:w="1073" w:type="dxa"/>
            <w:tcBorders>
              <w:top w:val="nil"/>
              <w:left w:val="nil"/>
              <w:bottom w:val="single" w:sz="4" w:space="0" w:color="auto"/>
              <w:right w:val="single" w:sz="4" w:space="0" w:color="auto"/>
            </w:tcBorders>
            <w:shd w:val="clear" w:color="auto" w:fill="auto"/>
            <w:noWrap/>
            <w:vAlign w:val="bottom"/>
            <w:hideMark/>
          </w:tcPr>
          <w:p w14:paraId="06407101"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95.0%</w:t>
            </w:r>
          </w:p>
        </w:tc>
        <w:tc>
          <w:tcPr>
            <w:tcW w:w="1073" w:type="dxa"/>
            <w:tcBorders>
              <w:top w:val="nil"/>
              <w:left w:val="nil"/>
              <w:bottom w:val="single" w:sz="4" w:space="0" w:color="auto"/>
              <w:right w:val="single" w:sz="4" w:space="0" w:color="auto"/>
            </w:tcBorders>
            <w:shd w:val="clear" w:color="auto" w:fill="auto"/>
            <w:noWrap/>
            <w:vAlign w:val="bottom"/>
            <w:hideMark/>
          </w:tcPr>
          <w:p w14:paraId="713BD77A"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97.0%</w:t>
            </w:r>
          </w:p>
        </w:tc>
        <w:tc>
          <w:tcPr>
            <w:tcW w:w="286" w:type="dxa"/>
            <w:tcBorders>
              <w:top w:val="nil"/>
              <w:left w:val="nil"/>
              <w:bottom w:val="nil"/>
              <w:right w:val="nil"/>
            </w:tcBorders>
            <w:shd w:val="clear" w:color="auto" w:fill="auto"/>
            <w:noWrap/>
            <w:vAlign w:val="bottom"/>
            <w:hideMark/>
          </w:tcPr>
          <w:p w14:paraId="1FC6524B" w14:textId="77777777" w:rsidR="00B840BF" w:rsidRPr="00B840BF" w:rsidRDefault="00B840BF" w:rsidP="00B840BF">
            <w:pPr>
              <w:spacing w:after="0"/>
              <w:rPr>
                <w:rFonts w:ascii="Calibri" w:eastAsia="Times New Roman" w:hAnsi="Calibri" w:cs="Calibri"/>
                <w:color w:val="000000"/>
                <w:sz w:val="22"/>
                <w:szCs w:val="22"/>
                <w:lang w:val="es-DO" w:eastAsia="es-DO"/>
              </w:rPr>
            </w:pPr>
          </w:p>
        </w:tc>
      </w:tr>
      <w:tr w:rsidR="00B840BF" w:rsidRPr="00B840BF" w14:paraId="669D0366" w14:textId="77777777" w:rsidTr="00464B32">
        <w:trPr>
          <w:trHeight w:val="287"/>
        </w:trPr>
        <w:tc>
          <w:tcPr>
            <w:tcW w:w="196" w:type="dxa"/>
            <w:tcBorders>
              <w:top w:val="nil"/>
              <w:left w:val="nil"/>
              <w:bottom w:val="nil"/>
              <w:right w:val="nil"/>
            </w:tcBorders>
            <w:shd w:val="clear" w:color="auto" w:fill="auto"/>
            <w:noWrap/>
            <w:vAlign w:val="bottom"/>
            <w:hideMark/>
          </w:tcPr>
          <w:p w14:paraId="0BCC5C1B"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14:paraId="39F63879"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 xml:space="preserve">Edesur </w:t>
            </w:r>
          </w:p>
        </w:tc>
        <w:tc>
          <w:tcPr>
            <w:tcW w:w="1073" w:type="dxa"/>
            <w:tcBorders>
              <w:top w:val="nil"/>
              <w:left w:val="nil"/>
              <w:bottom w:val="single" w:sz="4" w:space="0" w:color="auto"/>
              <w:right w:val="single" w:sz="4" w:space="0" w:color="auto"/>
            </w:tcBorders>
            <w:shd w:val="clear" w:color="auto" w:fill="auto"/>
            <w:noWrap/>
            <w:vAlign w:val="bottom"/>
            <w:hideMark/>
          </w:tcPr>
          <w:p w14:paraId="35E14A6E"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95.6%</w:t>
            </w:r>
          </w:p>
        </w:tc>
        <w:tc>
          <w:tcPr>
            <w:tcW w:w="1073" w:type="dxa"/>
            <w:tcBorders>
              <w:top w:val="nil"/>
              <w:left w:val="nil"/>
              <w:bottom w:val="single" w:sz="4" w:space="0" w:color="auto"/>
              <w:right w:val="single" w:sz="4" w:space="0" w:color="auto"/>
            </w:tcBorders>
            <w:shd w:val="clear" w:color="auto" w:fill="auto"/>
            <w:noWrap/>
            <w:vAlign w:val="bottom"/>
            <w:hideMark/>
          </w:tcPr>
          <w:p w14:paraId="1EF13AF3"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92.0%</w:t>
            </w:r>
          </w:p>
        </w:tc>
        <w:tc>
          <w:tcPr>
            <w:tcW w:w="1073" w:type="dxa"/>
            <w:tcBorders>
              <w:top w:val="nil"/>
              <w:left w:val="nil"/>
              <w:bottom w:val="single" w:sz="4" w:space="0" w:color="auto"/>
              <w:right w:val="single" w:sz="4" w:space="0" w:color="auto"/>
            </w:tcBorders>
            <w:shd w:val="clear" w:color="auto" w:fill="auto"/>
            <w:noWrap/>
            <w:vAlign w:val="bottom"/>
            <w:hideMark/>
          </w:tcPr>
          <w:p w14:paraId="276F3FB7"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92.0%</w:t>
            </w:r>
          </w:p>
        </w:tc>
        <w:tc>
          <w:tcPr>
            <w:tcW w:w="1073" w:type="dxa"/>
            <w:tcBorders>
              <w:top w:val="nil"/>
              <w:left w:val="nil"/>
              <w:bottom w:val="single" w:sz="4" w:space="0" w:color="auto"/>
              <w:right w:val="single" w:sz="4" w:space="0" w:color="auto"/>
            </w:tcBorders>
            <w:shd w:val="clear" w:color="auto" w:fill="auto"/>
            <w:noWrap/>
            <w:vAlign w:val="bottom"/>
            <w:hideMark/>
          </w:tcPr>
          <w:p w14:paraId="71EC153C"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93.0%</w:t>
            </w:r>
          </w:p>
        </w:tc>
        <w:tc>
          <w:tcPr>
            <w:tcW w:w="1073" w:type="dxa"/>
            <w:tcBorders>
              <w:top w:val="nil"/>
              <w:left w:val="nil"/>
              <w:bottom w:val="single" w:sz="4" w:space="0" w:color="auto"/>
              <w:right w:val="single" w:sz="4" w:space="0" w:color="auto"/>
            </w:tcBorders>
            <w:shd w:val="clear" w:color="auto" w:fill="auto"/>
            <w:noWrap/>
            <w:vAlign w:val="bottom"/>
            <w:hideMark/>
          </w:tcPr>
          <w:p w14:paraId="08F7A320"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94.0%</w:t>
            </w:r>
          </w:p>
        </w:tc>
        <w:tc>
          <w:tcPr>
            <w:tcW w:w="1073" w:type="dxa"/>
            <w:tcBorders>
              <w:top w:val="nil"/>
              <w:left w:val="nil"/>
              <w:bottom w:val="single" w:sz="4" w:space="0" w:color="auto"/>
              <w:right w:val="single" w:sz="4" w:space="0" w:color="auto"/>
            </w:tcBorders>
            <w:shd w:val="clear" w:color="auto" w:fill="auto"/>
            <w:noWrap/>
            <w:vAlign w:val="bottom"/>
            <w:hideMark/>
          </w:tcPr>
          <w:p w14:paraId="1F39ADB6"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95.0%</w:t>
            </w:r>
          </w:p>
        </w:tc>
        <w:tc>
          <w:tcPr>
            <w:tcW w:w="1073" w:type="dxa"/>
            <w:tcBorders>
              <w:top w:val="nil"/>
              <w:left w:val="nil"/>
              <w:bottom w:val="single" w:sz="4" w:space="0" w:color="auto"/>
              <w:right w:val="single" w:sz="4" w:space="0" w:color="auto"/>
            </w:tcBorders>
            <w:shd w:val="clear" w:color="auto" w:fill="auto"/>
            <w:noWrap/>
            <w:vAlign w:val="bottom"/>
            <w:hideMark/>
          </w:tcPr>
          <w:p w14:paraId="02C9E39B"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97.0%</w:t>
            </w:r>
          </w:p>
        </w:tc>
        <w:tc>
          <w:tcPr>
            <w:tcW w:w="286" w:type="dxa"/>
            <w:tcBorders>
              <w:top w:val="nil"/>
              <w:left w:val="nil"/>
              <w:bottom w:val="nil"/>
              <w:right w:val="nil"/>
            </w:tcBorders>
            <w:shd w:val="clear" w:color="auto" w:fill="auto"/>
            <w:noWrap/>
            <w:vAlign w:val="bottom"/>
            <w:hideMark/>
          </w:tcPr>
          <w:p w14:paraId="162D6589" w14:textId="77777777" w:rsidR="00B840BF" w:rsidRPr="00B840BF" w:rsidRDefault="00B840BF" w:rsidP="00B840BF">
            <w:pPr>
              <w:spacing w:after="0"/>
              <w:rPr>
                <w:rFonts w:ascii="Calibri" w:eastAsia="Times New Roman" w:hAnsi="Calibri" w:cs="Calibri"/>
                <w:color w:val="000000"/>
                <w:sz w:val="22"/>
                <w:szCs w:val="22"/>
                <w:lang w:val="es-DO" w:eastAsia="es-DO"/>
              </w:rPr>
            </w:pPr>
          </w:p>
        </w:tc>
      </w:tr>
      <w:tr w:rsidR="00B840BF" w:rsidRPr="00B840BF" w14:paraId="54A34AE0" w14:textId="77777777" w:rsidTr="00464B32">
        <w:trPr>
          <w:trHeight w:val="287"/>
        </w:trPr>
        <w:tc>
          <w:tcPr>
            <w:tcW w:w="196" w:type="dxa"/>
            <w:tcBorders>
              <w:top w:val="nil"/>
              <w:left w:val="nil"/>
              <w:bottom w:val="nil"/>
              <w:right w:val="nil"/>
            </w:tcBorders>
            <w:shd w:val="clear" w:color="auto" w:fill="auto"/>
            <w:noWrap/>
            <w:vAlign w:val="bottom"/>
            <w:hideMark/>
          </w:tcPr>
          <w:p w14:paraId="30984D9A"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14:paraId="5DE5D5D9" w14:textId="77777777" w:rsidR="00B840BF" w:rsidRPr="00B840BF" w:rsidRDefault="00B840BF" w:rsidP="00B840BF">
            <w:pPr>
              <w:spacing w:after="0"/>
              <w:rPr>
                <w:rFonts w:ascii="Calibri" w:eastAsia="Times New Roman" w:hAnsi="Calibri" w:cs="Calibri"/>
                <w:color w:val="000000"/>
                <w:sz w:val="22"/>
                <w:szCs w:val="22"/>
                <w:lang w:val="es-DO" w:eastAsia="es-DO"/>
              </w:rPr>
            </w:pPr>
            <w:proofErr w:type="spellStart"/>
            <w:r w:rsidRPr="00B840BF">
              <w:rPr>
                <w:rFonts w:ascii="Calibri" w:eastAsia="Times New Roman" w:hAnsi="Calibri" w:cs="Calibri"/>
                <w:color w:val="000000"/>
                <w:sz w:val="22"/>
                <w:szCs w:val="22"/>
                <w:lang w:val="es-DO" w:eastAsia="es-DO"/>
              </w:rPr>
              <w:t>Edeeste</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14:paraId="5549DBEB"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95.0%</w:t>
            </w:r>
          </w:p>
        </w:tc>
        <w:tc>
          <w:tcPr>
            <w:tcW w:w="1073" w:type="dxa"/>
            <w:tcBorders>
              <w:top w:val="nil"/>
              <w:left w:val="nil"/>
              <w:bottom w:val="single" w:sz="4" w:space="0" w:color="auto"/>
              <w:right w:val="single" w:sz="4" w:space="0" w:color="auto"/>
            </w:tcBorders>
            <w:shd w:val="clear" w:color="auto" w:fill="auto"/>
            <w:noWrap/>
            <w:vAlign w:val="bottom"/>
            <w:hideMark/>
          </w:tcPr>
          <w:p w14:paraId="0D86AA67"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86.0%</w:t>
            </w:r>
          </w:p>
        </w:tc>
        <w:tc>
          <w:tcPr>
            <w:tcW w:w="1073" w:type="dxa"/>
            <w:tcBorders>
              <w:top w:val="nil"/>
              <w:left w:val="nil"/>
              <w:bottom w:val="single" w:sz="4" w:space="0" w:color="auto"/>
              <w:right w:val="single" w:sz="4" w:space="0" w:color="auto"/>
            </w:tcBorders>
            <w:shd w:val="clear" w:color="auto" w:fill="auto"/>
            <w:noWrap/>
            <w:vAlign w:val="bottom"/>
            <w:hideMark/>
          </w:tcPr>
          <w:p w14:paraId="0243F7B4"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90.0%</w:t>
            </w:r>
          </w:p>
        </w:tc>
        <w:tc>
          <w:tcPr>
            <w:tcW w:w="1073" w:type="dxa"/>
            <w:tcBorders>
              <w:top w:val="nil"/>
              <w:left w:val="nil"/>
              <w:bottom w:val="single" w:sz="4" w:space="0" w:color="auto"/>
              <w:right w:val="single" w:sz="4" w:space="0" w:color="auto"/>
            </w:tcBorders>
            <w:shd w:val="clear" w:color="auto" w:fill="auto"/>
            <w:noWrap/>
            <w:vAlign w:val="bottom"/>
            <w:hideMark/>
          </w:tcPr>
          <w:p w14:paraId="04827668"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93.0%</w:t>
            </w:r>
          </w:p>
        </w:tc>
        <w:tc>
          <w:tcPr>
            <w:tcW w:w="1073" w:type="dxa"/>
            <w:tcBorders>
              <w:top w:val="nil"/>
              <w:left w:val="nil"/>
              <w:bottom w:val="single" w:sz="4" w:space="0" w:color="auto"/>
              <w:right w:val="single" w:sz="4" w:space="0" w:color="auto"/>
            </w:tcBorders>
            <w:shd w:val="clear" w:color="auto" w:fill="auto"/>
            <w:noWrap/>
            <w:vAlign w:val="bottom"/>
            <w:hideMark/>
          </w:tcPr>
          <w:p w14:paraId="1C05283C"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94.0%</w:t>
            </w:r>
          </w:p>
        </w:tc>
        <w:tc>
          <w:tcPr>
            <w:tcW w:w="1073" w:type="dxa"/>
            <w:tcBorders>
              <w:top w:val="nil"/>
              <w:left w:val="nil"/>
              <w:bottom w:val="single" w:sz="4" w:space="0" w:color="auto"/>
              <w:right w:val="single" w:sz="4" w:space="0" w:color="auto"/>
            </w:tcBorders>
            <w:shd w:val="clear" w:color="auto" w:fill="auto"/>
            <w:noWrap/>
            <w:vAlign w:val="bottom"/>
            <w:hideMark/>
          </w:tcPr>
          <w:p w14:paraId="0CE555F7"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95.0%</w:t>
            </w:r>
          </w:p>
        </w:tc>
        <w:tc>
          <w:tcPr>
            <w:tcW w:w="1073" w:type="dxa"/>
            <w:tcBorders>
              <w:top w:val="nil"/>
              <w:left w:val="nil"/>
              <w:bottom w:val="single" w:sz="4" w:space="0" w:color="auto"/>
              <w:right w:val="single" w:sz="4" w:space="0" w:color="auto"/>
            </w:tcBorders>
            <w:shd w:val="clear" w:color="auto" w:fill="auto"/>
            <w:noWrap/>
            <w:vAlign w:val="bottom"/>
            <w:hideMark/>
          </w:tcPr>
          <w:p w14:paraId="551F9698"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97.0%</w:t>
            </w:r>
          </w:p>
        </w:tc>
        <w:tc>
          <w:tcPr>
            <w:tcW w:w="286" w:type="dxa"/>
            <w:tcBorders>
              <w:top w:val="nil"/>
              <w:left w:val="nil"/>
              <w:bottom w:val="nil"/>
              <w:right w:val="nil"/>
            </w:tcBorders>
            <w:shd w:val="clear" w:color="auto" w:fill="auto"/>
            <w:noWrap/>
            <w:vAlign w:val="bottom"/>
            <w:hideMark/>
          </w:tcPr>
          <w:p w14:paraId="37E12DB5" w14:textId="77777777" w:rsidR="00B840BF" w:rsidRPr="00B840BF" w:rsidRDefault="00B840BF" w:rsidP="00B840BF">
            <w:pPr>
              <w:spacing w:after="0"/>
              <w:rPr>
                <w:rFonts w:ascii="Calibri" w:eastAsia="Times New Roman" w:hAnsi="Calibri" w:cs="Calibri"/>
                <w:color w:val="000000"/>
                <w:sz w:val="22"/>
                <w:szCs w:val="22"/>
                <w:lang w:val="es-DO" w:eastAsia="es-DO"/>
              </w:rPr>
            </w:pPr>
          </w:p>
        </w:tc>
      </w:tr>
      <w:tr w:rsidR="00B840BF" w:rsidRPr="00B840BF" w14:paraId="459813A4" w14:textId="77777777" w:rsidTr="00464B32">
        <w:trPr>
          <w:trHeight w:val="86"/>
        </w:trPr>
        <w:tc>
          <w:tcPr>
            <w:tcW w:w="196" w:type="dxa"/>
            <w:tcBorders>
              <w:top w:val="nil"/>
              <w:left w:val="nil"/>
              <w:bottom w:val="nil"/>
              <w:right w:val="nil"/>
            </w:tcBorders>
            <w:shd w:val="clear" w:color="auto" w:fill="auto"/>
            <w:noWrap/>
            <w:vAlign w:val="bottom"/>
            <w:hideMark/>
          </w:tcPr>
          <w:p w14:paraId="177C5037"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493" w:type="dxa"/>
            <w:tcBorders>
              <w:top w:val="nil"/>
              <w:left w:val="nil"/>
              <w:bottom w:val="nil"/>
              <w:right w:val="nil"/>
            </w:tcBorders>
            <w:shd w:val="clear" w:color="auto" w:fill="auto"/>
            <w:noWrap/>
            <w:vAlign w:val="bottom"/>
            <w:hideMark/>
          </w:tcPr>
          <w:p w14:paraId="171E037B"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757853AE"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242F3DC9"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4362205C"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2680492F"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228448CC"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47E980D7"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1073" w:type="dxa"/>
            <w:tcBorders>
              <w:top w:val="nil"/>
              <w:left w:val="nil"/>
              <w:bottom w:val="nil"/>
              <w:right w:val="nil"/>
            </w:tcBorders>
            <w:shd w:val="clear" w:color="auto" w:fill="auto"/>
            <w:noWrap/>
            <w:vAlign w:val="bottom"/>
            <w:hideMark/>
          </w:tcPr>
          <w:p w14:paraId="6400A3ED"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286" w:type="dxa"/>
            <w:tcBorders>
              <w:top w:val="nil"/>
              <w:left w:val="nil"/>
              <w:bottom w:val="nil"/>
              <w:right w:val="nil"/>
            </w:tcBorders>
            <w:shd w:val="clear" w:color="auto" w:fill="auto"/>
            <w:noWrap/>
            <w:vAlign w:val="bottom"/>
            <w:hideMark/>
          </w:tcPr>
          <w:p w14:paraId="079DA38D"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r>
      <w:tr w:rsidR="00B840BF" w:rsidRPr="00B840BF" w14:paraId="1F8EF18F" w14:textId="77777777" w:rsidTr="00464B32">
        <w:trPr>
          <w:trHeight w:val="287"/>
        </w:trPr>
        <w:tc>
          <w:tcPr>
            <w:tcW w:w="196" w:type="dxa"/>
            <w:tcBorders>
              <w:top w:val="nil"/>
              <w:left w:val="nil"/>
              <w:bottom w:val="nil"/>
              <w:right w:val="nil"/>
            </w:tcBorders>
            <w:shd w:val="clear" w:color="auto" w:fill="auto"/>
            <w:noWrap/>
            <w:vAlign w:val="bottom"/>
            <w:hideMark/>
          </w:tcPr>
          <w:p w14:paraId="763655FD"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DBBD4" w14:textId="77777777" w:rsidR="00B840BF" w:rsidRPr="00B840BF" w:rsidRDefault="00B840BF" w:rsidP="00B840BF">
            <w:pPr>
              <w:spacing w:after="0"/>
              <w:jc w:val="left"/>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OPEX/Ingresos</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616B83AA"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18.4%</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74A6EDD1"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15.0%</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42FE5BB1"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14.0%</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33107D61"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13.0%</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1AA6B12E"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12.0%</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07E7FB5F"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11.0%</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69A30DD4" w14:textId="77777777" w:rsidR="00B840BF" w:rsidRPr="00B840BF" w:rsidRDefault="00B840BF" w:rsidP="00B840BF">
            <w:pPr>
              <w:spacing w:after="0"/>
              <w:rPr>
                <w:rFonts w:ascii="Calibri" w:eastAsia="Times New Roman" w:hAnsi="Calibri" w:cs="Calibri"/>
                <w:b/>
                <w:bCs/>
                <w:color w:val="000000"/>
                <w:sz w:val="22"/>
                <w:szCs w:val="22"/>
                <w:lang w:val="es-DO" w:eastAsia="es-DO"/>
              </w:rPr>
            </w:pPr>
            <w:r w:rsidRPr="00B840BF">
              <w:rPr>
                <w:rFonts w:ascii="Calibri" w:eastAsia="Times New Roman" w:hAnsi="Calibri" w:cs="Calibri"/>
                <w:b/>
                <w:bCs/>
                <w:color w:val="000000"/>
                <w:sz w:val="22"/>
                <w:szCs w:val="22"/>
                <w:lang w:val="es-DO" w:eastAsia="es-DO"/>
              </w:rPr>
              <w:t>10.0%</w:t>
            </w:r>
          </w:p>
        </w:tc>
        <w:tc>
          <w:tcPr>
            <w:tcW w:w="286" w:type="dxa"/>
            <w:tcBorders>
              <w:top w:val="nil"/>
              <w:left w:val="nil"/>
              <w:bottom w:val="nil"/>
              <w:right w:val="nil"/>
            </w:tcBorders>
            <w:shd w:val="clear" w:color="auto" w:fill="auto"/>
            <w:noWrap/>
            <w:vAlign w:val="bottom"/>
            <w:hideMark/>
          </w:tcPr>
          <w:p w14:paraId="2F565F33" w14:textId="77777777" w:rsidR="00B840BF" w:rsidRPr="00B840BF" w:rsidRDefault="00B840BF" w:rsidP="00B840BF">
            <w:pPr>
              <w:spacing w:after="0"/>
              <w:rPr>
                <w:rFonts w:ascii="Calibri" w:eastAsia="Times New Roman" w:hAnsi="Calibri" w:cs="Calibri"/>
                <w:b/>
                <w:bCs/>
                <w:color w:val="000000"/>
                <w:sz w:val="22"/>
                <w:szCs w:val="22"/>
                <w:lang w:val="es-DO" w:eastAsia="es-DO"/>
              </w:rPr>
            </w:pPr>
          </w:p>
        </w:tc>
      </w:tr>
      <w:tr w:rsidR="00B840BF" w:rsidRPr="00B840BF" w14:paraId="18E75A25" w14:textId="77777777" w:rsidTr="00464B32">
        <w:trPr>
          <w:trHeight w:val="287"/>
        </w:trPr>
        <w:tc>
          <w:tcPr>
            <w:tcW w:w="196" w:type="dxa"/>
            <w:tcBorders>
              <w:top w:val="nil"/>
              <w:left w:val="nil"/>
              <w:bottom w:val="nil"/>
              <w:right w:val="nil"/>
            </w:tcBorders>
            <w:shd w:val="clear" w:color="auto" w:fill="auto"/>
            <w:noWrap/>
            <w:vAlign w:val="bottom"/>
            <w:hideMark/>
          </w:tcPr>
          <w:p w14:paraId="49D5C01C"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14:paraId="2837BEC0" w14:textId="77777777" w:rsidR="00B840BF" w:rsidRPr="00B840BF" w:rsidRDefault="00B840BF" w:rsidP="00B840BF">
            <w:pPr>
              <w:spacing w:after="0"/>
              <w:rPr>
                <w:rFonts w:ascii="Calibri" w:eastAsia="Times New Roman" w:hAnsi="Calibri" w:cs="Calibri"/>
                <w:color w:val="000000"/>
                <w:sz w:val="22"/>
                <w:szCs w:val="22"/>
                <w:lang w:val="es-DO" w:eastAsia="es-DO"/>
              </w:rPr>
            </w:pPr>
            <w:proofErr w:type="spellStart"/>
            <w:r w:rsidRPr="00B840BF">
              <w:rPr>
                <w:rFonts w:ascii="Calibri" w:eastAsia="Times New Roman" w:hAnsi="Calibri" w:cs="Calibri"/>
                <w:color w:val="000000"/>
                <w:sz w:val="22"/>
                <w:szCs w:val="22"/>
                <w:lang w:val="es-DO" w:eastAsia="es-DO"/>
              </w:rPr>
              <w:t>Edenorte</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14:paraId="7D9D97A6"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18.4%</w:t>
            </w:r>
          </w:p>
        </w:tc>
        <w:tc>
          <w:tcPr>
            <w:tcW w:w="1073" w:type="dxa"/>
            <w:tcBorders>
              <w:top w:val="nil"/>
              <w:left w:val="nil"/>
              <w:bottom w:val="single" w:sz="4" w:space="0" w:color="auto"/>
              <w:right w:val="single" w:sz="4" w:space="0" w:color="auto"/>
            </w:tcBorders>
            <w:shd w:val="clear" w:color="auto" w:fill="auto"/>
            <w:noWrap/>
            <w:vAlign w:val="bottom"/>
            <w:hideMark/>
          </w:tcPr>
          <w:p w14:paraId="21CFBB96"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15.0%</w:t>
            </w:r>
          </w:p>
        </w:tc>
        <w:tc>
          <w:tcPr>
            <w:tcW w:w="1073" w:type="dxa"/>
            <w:tcBorders>
              <w:top w:val="nil"/>
              <w:left w:val="nil"/>
              <w:bottom w:val="single" w:sz="4" w:space="0" w:color="auto"/>
              <w:right w:val="single" w:sz="4" w:space="0" w:color="auto"/>
            </w:tcBorders>
            <w:shd w:val="clear" w:color="auto" w:fill="auto"/>
            <w:noWrap/>
            <w:vAlign w:val="bottom"/>
            <w:hideMark/>
          </w:tcPr>
          <w:p w14:paraId="395C1BC5"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14.0%</w:t>
            </w:r>
          </w:p>
        </w:tc>
        <w:tc>
          <w:tcPr>
            <w:tcW w:w="1073" w:type="dxa"/>
            <w:tcBorders>
              <w:top w:val="nil"/>
              <w:left w:val="nil"/>
              <w:bottom w:val="single" w:sz="4" w:space="0" w:color="auto"/>
              <w:right w:val="single" w:sz="4" w:space="0" w:color="auto"/>
            </w:tcBorders>
            <w:shd w:val="clear" w:color="auto" w:fill="auto"/>
            <w:noWrap/>
            <w:vAlign w:val="bottom"/>
            <w:hideMark/>
          </w:tcPr>
          <w:p w14:paraId="1DA229D6"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13.0%</w:t>
            </w:r>
          </w:p>
        </w:tc>
        <w:tc>
          <w:tcPr>
            <w:tcW w:w="1073" w:type="dxa"/>
            <w:tcBorders>
              <w:top w:val="nil"/>
              <w:left w:val="nil"/>
              <w:bottom w:val="single" w:sz="4" w:space="0" w:color="auto"/>
              <w:right w:val="single" w:sz="4" w:space="0" w:color="auto"/>
            </w:tcBorders>
            <w:shd w:val="clear" w:color="auto" w:fill="auto"/>
            <w:noWrap/>
            <w:vAlign w:val="bottom"/>
            <w:hideMark/>
          </w:tcPr>
          <w:p w14:paraId="712BC557"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12.0%</w:t>
            </w:r>
          </w:p>
        </w:tc>
        <w:tc>
          <w:tcPr>
            <w:tcW w:w="1073" w:type="dxa"/>
            <w:tcBorders>
              <w:top w:val="nil"/>
              <w:left w:val="nil"/>
              <w:bottom w:val="single" w:sz="4" w:space="0" w:color="auto"/>
              <w:right w:val="single" w:sz="4" w:space="0" w:color="auto"/>
            </w:tcBorders>
            <w:shd w:val="clear" w:color="auto" w:fill="auto"/>
            <w:noWrap/>
            <w:vAlign w:val="bottom"/>
            <w:hideMark/>
          </w:tcPr>
          <w:p w14:paraId="373E8933"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11.0%</w:t>
            </w:r>
          </w:p>
        </w:tc>
        <w:tc>
          <w:tcPr>
            <w:tcW w:w="1073" w:type="dxa"/>
            <w:tcBorders>
              <w:top w:val="nil"/>
              <w:left w:val="nil"/>
              <w:bottom w:val="single" w:sz="4" w:space="0" w:color="auto"/>
              <w:right w:val="single" w:sz="4" w:space="0" w:color="auto"/>
            </w:tcBorders>
            <w:shd w:val="clear" w:color="auto" w:fill="auto"/>
            <w:noWrap/>
            <w:vAlign w:val="bottom"/>
            <w:hideMark/>
          </w:tcPr>
          <w:p w14:paraId="75224742"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10.0%</w:t>
            </w:r>
          </w:p>
        </w:tc>
        <w:tc>
          <w:tcPr>
            <w:tcW w:w="286" w:type="dxa"/>
            <w:tcBorders>
              <w:top w:val="nil"/>
              <w:left w:val="nil"/>
              <w:bottom w:val="nil"/>
              <w:right w:val="nil"/>
            </w:tcBorders>
            <w:shd w:val="clear" w:color="auto" w:fill="auto"/>
            <w:noWrap/>
            <w:vAlign w:val="bottom"/>
            <w:hideMark/>
          </w:tcPr>
          <w:p w14:paraId="3F14B819" w14:textId="77777777" w:rsidR="00B840BF" w:rsidRPr="00B840BF" w:rsidRDefault="00B840BF" w:rsidP="00B840BF">
            <w:pPr>
              <w:spacing w:after="0"/>
              <w:rPr>
                <w:rFonts w:ascii="Calibri" w:eastAsia="Times New Roman" w:hAnsi="Calibri" w:cs="Calibri"/>
                <w:color w:val="000000"/>
                <w:sz w:val="22"/>
                <w:szCs w:val="22"/>
                <w:lang w:val="es-DO" w:eastAsia="es-DO"/>
              </w:rPr>
            </w:pPr>
          </w:p>
        </w:tc>
      </w:tr>
      <w:tr w:rsidR="00B840BF" w:rsidRPr="00B840BF" w14:paraId="2C993ECF" w14:textId="77777777" w:rsidTr="00464B32">
        <w:trPr>
          <w:trHeight w:val="287"/>
        </w:trPr>
        <w:tc>
          <w:tcPr>
            <w:tcW w:w="196" w:type="dxa"/>
            <w:tcBorders>
              <w:top w:val="nil"/>
              <w:left w:val="nil"/>
              <w:bottom w:val="nil"/>
              <w:right w:val="nil"/>
            </w:tcBorders>
            <w:shd w:val="clear" w:color="auto" w:fill="auto"/>
            <w:noWrap/>
            <w:vAlign w:val="bottom"/>
            <w:hideMark/>
          </w:tcPr>
          <w:p w14:paraId="7E7A06B8"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14:paraId="2A60B369"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 xml:space="preserve">Edesur </w:t>
            </w:r>
          </w:p>
        </w:tc>
        <w:tc>
          <w:tcPr>
            <w:tcW w:w="1073" w:type="dxa"/>
            <w:tcBorders>
              <w:top w:val="nil"/>
              <w:left w:val="nil"/>
              <w:bottom w:val="single" w:sz="4" w:space="0" w:color="auto"/>
              <w:right w:val="single" w:sz="4" w:space="0" w:color="auto"/>
            </w:tcBorders>
            <w:shd w:val="clear" w:color="auto" w:fill="auto"/>
            <w:noWrap/>
            <w:vAlign w:val="bottom"/>
            <w:hideMark/>
          </w:tcPr>
          <w:p w14:paraId="5ACF92A4"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18.6%</w:t>
            </w:r>
          </w:p>
        </w:tc>
        <w:tc>
          <w:tcPr>
            <w:tcW w:w="1073" w:type="dxa"/>
            <w:tcBorders>
              <w:top w:val="nil"/>
              <w:left w:val="nil"/>
              <w:bottom w:val="single" w:sz="4" w:space="0" w:color="auto"/>
              <w:right w:val="single" w:sz="4" w:space="0" w:color="auto"/>
            </w:tcBorders>
            <w:shd w:val="clear" w:color="auto" w:fill="auto"/>
            <w:noWrap/>
            <w:vAlign w:val="bottom"/>
            <w:hideMark/>
          </w:tcPr>
          <w:p w14:paraId="68399310"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15.0%</w:t>
            </w:r>
          </w:p>
        </w:tc>
        <w:tc>
          <w:tcPr>
            <w:tcW w:w="1073" w:type="dxa"/>
            <w:tcBorders>
              <w:top w:val="nil"/>
              <w:left w:val="nil"/>
              <w:bottom w:val="single" w:sz="4" w:space="0" w:color="auto"/>
              <w:right w:val="single" w:sz="4" w:space="0" w:color="auto"/>
            </w:tcBorders>
            <w:shd w:val="clear" w:color="auto" w:fill="auto"/>
            <w:noWrap/>
            <w:vAlign w:val="bottom"/>
            <w:hideMark/>
          </w:tcPr>
          <w:p w14:paraId="03CBC5D3"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14.0%</w:t>
            </w:r>
          </w:p>
        </w:tc>
        <w:tc>
          <w:tcPr>
            <w:tcW w:w="1073" w:type="dxa"/>
            <w:tcBorders>
              <w:top w:val="nil"/>
              <w:left w:val="nil"/>
              <w:bottom w:val="single" w:sz="4" w:space="0" w:color="auto"/>
              <w:right w:val="single" w:sz="4" w:space="0" w:color="auto"/>
            </w:tcBorders>
            <w:shd w:val="clear" w:color="auto" w:fill="auto"/>
            <w:noWrap/>
            <w:vAlign w:val="bottom"/>
            <w:hideMark/>
          </w:tcPr>
          <w:p w14:paraId="3B70F08A"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13.0%</w:t>
            </w:r>
          </w:p>
        </w:tc>
        <w:tc>
          <w:tcPr>
            <w:tcW w:w="1073" w:type="dxa"/>
            <w:tcBorders>
              <w:top w:val="nil"/>
              <w:left w:val="nil"/>
              <w:bottom w:val="single" w:sz="4" w:space="0" w:color="auto"/>
              <w:right w:val="single" w:sz="4" w:space="0" w:color="auto"/>
            </w:tcBorders>
            <w:shd w:val="clear" w:color="auto" w:fill="auto"/>
            <w:noWrap/>
            <w:vAlign w:val="bottom"/>
            <w:hideMark/>
          </w:tcPr>
          <w:p w14:paraId="76C8C382"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12.0%</w:t>
            </w:r>
          </w:p>
        </w:tc>
        <w:tc>
          <w:tcPr>
            <w:tcW w:w="1073" w:type="dxa"/>
            <w:tcBorders>
              <w:top w:val="nil"/>
              <w:left w:val="nil"/>
              <w:bottom w:val="single" w:sz="4" w:space="0" w:color="auto"/>
              <w:right w:val="single" w:sz="4" w:space="0" w:color="auto"/>
            </w:tcBorders>
            <w:shd w:val="clear" w:color="auto" w:fill="auto"/>
            <w:noWrap/>
            <w:vAlign w:val="bottom"/>
            <w:hideMark/>
          </w:tcPr>
          <w:p w14:paraId="0F014937"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11.0%</w:t>
            </w:r>
          </w:p>
        </w:tc>
        <w:tc>
          <w:tcPr>
            <w:tcW w:w="1073" w:type="dxa"/>
            <w:tcBorders>
              <w:top w:val="nil"/>
              <w:left w:val="nil"/>
              <w:bottom w:val="single" w:sz="4" w:space="0" w:color="auto"/>
              <w:right w:val="single" w:sz="4" w:space="0" w:color="auto"/>
            </w:tcBorders>
            <w:shd w:val="clear" w:color="auto" w:fill="auto"/>
            <w:noWrap/>
            <w:vAlign w:val="bottom"/>
            <w:hideMark/>
          </w:tcPr>
          <w:p w14:paraId="3F62878A"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10.0%</w:t>
            </w:r>
          </w:p>
        </w:tc>
        <w:tc>
          <w:tcPr>
            <w:tcW w:w="286" w:type="dxa"/>
            <w:tcBorders>
              <w:top w:val="nil"/>
              <w:left w:val="nil"/>
              <w:bottom w:val="nil"/>
              <w:right w:val="nil"/>
            </w:tcBorders>
            <w:shd w:val="clear" w:color="auto" w:fill="auto"/>
            <w:noWrap/>
            <w:vAlign w:val="bottom"/>
            <w:hideMark/>
          </w:tcPr>
          <w:p w14:paraId="41F69AB1" w14:textId="77777777" w:rsidR="00B840BF" w:rsidRPr="00B840BF" w:rsidRDefault="00B840BF" w:rsidP="00B840BF">
            <w:pPr>
              <w:spacing w:after="0"/>
              <w:rPr>
                <w:rFonts w:ascii="Calibri" w:eastAsia="Times New Roman" w:hAnsi="Calibri" w:cs="Calibri"/>
                <w:color w:val="000000"/>
                <w:sz w:val="22"/>
                <w:szCs w:val="22"/>
                <w:lang w:val="es-DO" w:eastAsia="es-DO"/>
              </w:rPr>
            </w:pPr>
          </w:p>
        </w:tc>
      </w:tr>
      <w:tr w:rsidR="00B840BF" w:rsidRPr="00B840BF" w14:paraId="2560C367" w14:textId="77777777" w:rsidTr="00464B32">
        <w:trPr>
          <w:trHeight w:val="287"/>
        </w:trPr>
        <w:tc>
          <w:tcPr>
            <w:tcW w:w="196" w:type="dxa"/>
            <w:tcBorders>
              <w:top w:val="nil"/>
              <w:left w:val="nil"/>
              <w:bottom w:val="nil"/>
              <w:right w:val="nil"/>
            </w:tcBorders>
            <w:shd w:val="clear" w:color="auto" w:fill="auto"/>
            <w:noWrap/>
            <w:vAlign w:val="bottom"/>
            <w:hideMark/>
          </w:tcPr>
          <w:p w14:paraId="0E0B621F"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14:paraId="65BFE759" w14:textId="77777777" w:rsidR="00B840BF" w:rsidRPr="00B840BF" w:rsidRDefault="00B840BF" w:rsidP="00B840BF">
            <w:pPr>
              <w:spacing w:after="0"/>
              <w:rPr>
                <w:rFonts w:ascii="Calibri" w:eastAsia="Times New Roman" w:hAnsi="Calibri" w:cs="Calibri"/>
                <w:color w:val="000000"/>
                <w:sz w:val="22"/>
                <w:szCs w:val="22"/>
                <w:lang w:val="es-DO" w:eastAsia="es-DO"/>
              </w:rPr>
            </w:pPr>
            <w:proofErr w:type="spellStart"/>
            <w:r w:rsidRPr="00B840BF">
              <w:rPr>
                <w:rFonts w:ascii="Calibri" w:eastAsia="Times New Roman" w:hAnsi="Calibri" w:cs="Calibri"/>
                <w:color w:val="000000"/>
                <w:sz w:val="22"/>
                <w:szCs w:val="22"/>
                <w:lang w:val="es-DO" w:eastAsia="es-DO"/>
              </w:rPr>
              <w:t>Edeeste</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14:paraId="0E1B21FE"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17.9%</w:t>
            </w:r>
          </w:p>
        </w:tc>
        <w:tc>
          <w:tcPr>
            <w:tcW w:w="1073" w:type="dxa"/>
            <w:tcBorders>
              <w:top w:val="nil"/>
              <w:left w:val="nil"/>
              <w:bottom w:val="single" w:sz="4" w:space="0" w:color="auto"/>
              <w:right w:val="single" w:sz="4" w:space="0" w:color="auto"/>
            </w:tcBorders>
            <w:shd w:val="clear" w:color="auto" w:fill="auto"/>
            <w:noWrap/>
            <w:vAlign w:val="bottom"/>
            <w:hideMark/>
          </w:tcPr>
          <w:p w14:paraId="41F3CCE3"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15.0%</w:t>
            </w:r>
          </w:p>
        </w:tc>
        <w:tc>
          <w:tcPr>
            <w:tcW w:w="1073" w:type="dxa"/>
            <w:tcBorders>
              <w:top w:val="nil"/>
              <w:left w:val="nil"/>
              <w:bottom w:val="single" w:sz="4" w:space="0" w:color="auto"/>
              <w:right w:val="single" w:sz="4" w:space="0" w:color="auto"/>
            </w:tcBorders>
            <w:shd w:val="clear" w:color="auto" w:fill="auto"/>
            <w:noWrap/>
            <w:vAlign w:val="bottom"/>
            <w:hideMark/>
          </w:tcPr>
          <w:p w14:paraId="41080279"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14.0%</w:t>
            </w:r>
          </w:p>
        </w:tc>
        <w:tc>
          <w:tcPr>
            <w:tcW w:w="1073" w:type="dxa"/>
            <w:tcBorders>
              <w:top w:val="nil"/>
              <w:left w:val="nil"/>
              <w:bottom w:val="single" w:sz="4" w:space="0" w:color="auto"/>
              <w:right w:val="single" w:sz="4" w:space="0" w:color="auto"/>
            </w:tcBorders>
            <w:shd w:val="clear" w:color="auto" w:fill="auto"/>
            <w:noWrap/>
            <w:vAlign w:val="bottom"/>
            <w:hideMark/>
          </w:tcPr>
          <w:p w14:paraId="6B53A5E9"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13.0%</w:t>
            </w:r>
          </w:p>
        </w:tc>
        <w:tc>
          <w:tcPr>
            <w:tcW w:w="1073" w:type="dxa"/>
            <w:tcBorders>
              <w:top w:val="nil"/>
              <w:left w:val="nil"/>
              <w:bottom w:val="single" w:sz="4" w:space="0" w:color="auto"/>
              <w:right w:val="single" w:sz="4" w:space="0" w:color="auto"/>
            </w:tcBorders>
            <w:shd w:val="clear" w:color="auto" w:fill="auto"/>
            <w:noWrap/>
            <w:vAlign w:val="bottom"/>
            <w:hideMark/>
          </w:tcPr>
          <w:p w14:paraId="0310C034"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12.0%</w:t>
            </w:r>
          </w:p>
        </w:tc>
        <w:tc>
          <w:tcPr>
            <w:tcW w:w="1073" w:type="dxa"/>
            <w:tcBorders>
              <w:top w:val="nil"/>
              <w:left w:val="nil"/>
              <w:bottom w:val="single" w:sz="4" w:space="0" w:color="auto"/>
              <w:right w:val="single" w:sz="4" w:space="0" w:color="auto"/>
            </w:tcBorders>
            <w:shd w:val="clear" w:color="auto" w:fill="auto"/>
            <w:noWrap/>
            <w:vAlign w:val="bottom"/>
            <w:hideMark/>
          </w:tcPr>
          <w:p w14:paraId="34AA3560"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11.0%</w:t>
            </w:r>
          </w:p>
        </w:tc>
        <w:tc>
          <w:tcPr>
            <w:tcW w:w="1073" w:type="dxa"/>
            <w:tcBorders>
              <w:top w:val="nil"/>
              <w:left w:val="nil"/>
              <w:bottom w:val="single" w:sz="4" w:space="0" w:color="auto"/>
              <w:right w:val="single" w:sz="4" w:space="0" w:color="auto"/>
            </w:tcBorders>
            <w:shd w:val="clear" w:color="auto" w:fill="auto"/>
            <w:noWrap/>
            <w:vAlign w:val="bottom"/>
            <w:hideMark/>
          </w:tcPr>
          <w:p w14:paraId="00CE7D59" w14:textId="77777777" w:rsidR="00B840BF" w:rsidRPr="00B840BF" w:rsidRDefault="00B840BF" w:rsidP="00B840BF">
            <w:pPr>
              <w:spacing w:after="0"/>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10.0%</w:t>
            </w:r>
          </w:p>
        </w:tc>
        <w:tc>
          <w:tcPr>
            <w:tcW w:w="286" w:type="dxa"/>
            <w:tcBorders>
              <w:top w:val="nil"/>
              <w:left w:val="nil"/>
              <w:bottom w:val="nil"/>
              <w:right w:val="nil"/>
            </w:tcBorders>
            <w:shd w:val="clear" w:color="auto" w:fill="auto"/>
            <w:noWrap/>
            <w:vAlign w:val="bottom"/>
            <w:hideMark/>
          </w:tcPr>
          <w:p w14:paraId="0CAB5ECE" w14:textId="77777777" w:rsidR="00B840BF" w:rsidRPr="00B840BF" w:rsidRDefault="00B840BF" w:rsidP="00B840BF">
            <w:pPr>
              <w:spacing w:after="0"/>
              <w:rPr>
                <w:rFonts w:ascii="Calibri" w:eastAsia="Times New Roman" w:hAnsi="Calibri" w:cs="Calibri"/>
                <w:color w:val="000000"/>
                <w:sz w:val="22"/>
                <w:szCs w:val="22"/>
                <w:lang w:val="es-DO" w:eastAsia="es-DO"/>
              </w:rPr>
            </w:pPr>
          </w:p>
        </w:tc>
      </w:tr>
      <w:tr w:rsidR="00B840BF" w:rsidRPr="00B840BF" w14:paraId="2F675466" w14:textId="77777777" w:rsidTr="00464B32">
        <w:trPr>
          <w:trHeight w:val="287"/>
        </w:trPr>
        <w:tc>
          <w:tcPr>
            <w:tcW w:w="196" w:type="dxa"/>
            <w:tcBorders>
              <w:top w:val="nil"/>
              <w:left w:val="nil"/>
              <w:bottom w:val="nil"/>
              <w:right w:val="nil"/>
            </w:tcBorders>
            <w:shd w:val="clear" w:color="auto" w:fill="auto"/>
            <w:noWrap/>
            <w:vAlign w:val="bottom"/>
            <w:hideMark/>
          </w:tcPr>
          <w:p w14:paraId="0C351F19"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1493" w:type="dxa"/>
            <w:tcBorders>
              <w:top w:val="nil"/>
              <w:left w:val="nil"/>
              <w:bottom w:val="nil"/>
              <w:right w:val="nil"/>
            </w:tcBorders>
            <w:shd w:val="clear" w:color="auto" w:fill="auto"/>
            <w:noWrap/>
            <w:vAlign w:val="bottom"/>
            <w:hideMark/>
          </w:tcPr>
          <w:p w14:paraId="6CF6C7A7" w14:textId="77777777" w:rsidR="00B840BF" w:rsidRPr="00B840BF" w:rsidRDefault="00B840BF" w:rsidP="00B840BF">
            <w:pPr>
              <w:spacing w:after="0"/>
              <w:jc w:val="left"/>
              <w:rPr>
                <w:rFonts w:ascii="Times New Roman" w:eastAsia="Times New Roman" w:hAnsi="Times New Roman" w:cs="Times New Roman"/>
                <w:sz w:val="20"/>
                <w:szCs w:val="20"/>
                <w:lang w:val="es-DO" w:eastAsia="es-DO"/>
              </w:rPr>
            </w:pPr>
          </w:p>
        </w:tc>
        <w:tc>
          <w:tcPr>
            <w:tcW w:w="5365" w:type="dxa"/>
            <w:gridSpan w:val="5"/>
            <w:tcBorders>
              <w:top w:val="single" w:sz="4" w:space="0" w:color="auto"/>
              <w:left w:val="nil"/>
              <w:bottom w:val="nil"/>
              <w:right w:val="nil"/>
            </w:tcBorders>
            <w:shd w:val="clear" w:color="auto" w:fill="auto"/>
            <w:hideMark/>
          </w:tcPr>
          <w:p w14:paraId="52563163" w14:textId="77777777" w:rsidR="00B840BF" w:rsidRPr="00B840BF" w:rsidRDefault="00B840BF" w:rsidP="00B840BF">
            <w:pPr>
              <w:spacing w:after="0"/>
              <w:jc w:val="left"/>
              <w:rPr>
                <w:rFonts w:ascii="Calibri" w:eastAsia="Times New Roman" w:hAnsi="Calibri" w:cs="Calibri"/>
                <w:color w:val="000000"/>
                <w:sz w:val="22"/>
                <w:szCs w:val="22"/>
                <w:lang w:val="es-DO" w:eastAsia="es-DO"/>
              </w:rPr>
            </w:pPr>
            <w:r w:rsidRPr="00B840BF">
              <w:rPr>
                <w:rFonts w:ascii="Calibri" w:eastAsia="Times New Roman" w:hAnsi="Calibri" w:cs="Calibri"/>
                <w:color w:val="000000"/>
                <w:sz w:val="22"/>
                <w:szCs w:val="22"/>
                <w:lang w:val="es-DO" w:eastAsia="es-DO"/>
              </w:rPr>
              <w:t>*Línea base fijada en la resolución SIE-070-2021-MEMI.</w:t>
            </w:r>
          </w:p>
        </w:tc>
        <w:tc>
          <w:tcPr>
            <w:tcW w:w="1073" w:type="dxa"/>
            <w:tcBorders>
              <w:top w:val="nil"/>
              <w:left w:val="nil"/>
              <w:bottom w:val="nil"/>
              <w:right w:val="nil"/>
            </w:tcBorders>
            <w:shd w:val="clear" w:color="auto" w:fill="auto"/>
            <w:noWrap/>
            <w:vAlign w:val="bottom"/>
            <w:hideMark/>
          </w:tcPr>
          <w:p w14:paraId="4FB191C8" w14:textId="77777777" w:rsidR="00B840BF" w:rsidRPr="00B840BF" w:rsidRDefault="00B840BF" w:rsidP="00B840BF">
            <w:pPr>
              <w:spacing w:after="0"/>
              <w:jc w:val="left"/>
              <w:rPr>
                <w:rFonts w:ascii="Calibri" w:eastAsia="Times New Roman" w:hAnsi="Calibri" w:cs="Calibri"/>
                <w:color w:val="000000"/>
                <w:sz w:val="22"/>
                <w:szCs w:val="22"/>
                <w:lang w:val="es-DO" w:eastAsia="es-DO"/>
              </w:rPr>
            </w:pPr>
          </w:p>
        </w:tc>
        <w:tc>
          <w:tcPr>
            <w:tcW w:w="1073" w:type="dxa"/>
            <w:tcBorders>
              <w:top w:val="nil"/>
              <w:left w:val="nil"/>
              <w:bottom w:val="nil"/>
              <w:right w:val="nil"/>
            </w:tcBorders>
            <w:shd w:val="clear" w:color="auto" w:fill="auto"/>
            <w:noWrap/>
            <w:vAlign w:val="bottom"/>
            <w:hideMark/>
          </w:tcPr>
          <w:p w14:paraId="6A32984B"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c>
          <w:tcPr>
            <w:tcW w:w="286" w:type="dxa"/>
            <w:tcBorders>
              <w:top w:val="nil"/>
              <w:left w:val="nil"/>
              <w:bottom w:val="nil"/>
              <w:right w:val="nil"/>
            </w:tcBorders>
            <w:shd w:val="clear" w:color="auto" w:fill="auto"/>
            <w:noWrap/>
            <w:vAlign w:val="bottom"/>
            <w:hideMark/>
          </w:tcPr>
          <w:p w14:paraId="32097201" w14:textId="77777777" w:rsidR="00B840BF" w:rsidRPr="00B840BF" w:rsidRDefault="00B840BF" w:rsidP="00B840BF">
            <w:pPr>
              <w:spacing w:after="0"/>
              <w:rPr>
                <w:rFonts w:ascii="Times New Roman" w:eastAsia="Times New Roman" w:hAnsi="Times New Roman" w:cs="Times New Roman"/>
                <w:sz w:val="20"/>
                <w:szCs w:val="20"/>
                <w:lang w:val="es-DO" w:eastAsia="es-DO"/>
              </w:rPr>
            </w:pPr>
          </w:p>
        </w:tc>
      </w:tr>
    </w:tbl>
    <w:p w14:paraId="57561032" w14:textId="77777777" w:rsidR="00A07472" w:rsidRDefault="00A07472" w:rsidP="00BE4659">
      <w:pPr>
        <w:jc w:val="both"/>
        <w:rPr>
          <w:rFonts w:ascii="Arial Narrow" w:hAnsi="Arial Narrow" w:cs="Arial"/>
          <w:sz w:val="26"/>
          <w:szCs w:val="26"/>
        </w:rPr>
      </w:pPr>
    </w:p>
    <w:p w14:paraId="2C147FC5" w14:textId="034F99D8" w:rsidR="00A07472" w:rsidRDefault="00A07472" w:rsidP="00BE4659">
      <w:pPr>
        <w:jc w:val="both"/>
        <w:rPr>
          <w:rFonts w:ascii="Arial Narrow" w:hAnsi="Arial Narrow" w:cs="Arial"/>
          <w:sz w:val="26"/>
          <w:szCs w:val="26"/>
        </w:rPr>
      </w:pPr>
      <w:r>
        <w:rPr>
          <w:rFonts w:ascii="Arial Narrow" w:hAnsi="Arial Narrow" w:cs="Arial"/>
          <w:sz w:val="26"/>
          <w:szCs w:val="26"/>
        </w:rPr>
        <w:t>Cabe destacar que el indicador Disponibilidad es equivalente al Índice de Abastecimiento; mientras que el OPEX/Ingresos es el equivalente a las Relación Gastos Operativos / Ingresos, ambos definidos en el punto “Objetivos del Informe”.</w:t>
      </w:r>
    </w:p>
    <w:p w14:paraId="1FCDA171" w14:textId="17463006" w:rsidR="00FC2DA5" w:rsidRDefault="00FC2DA5" w:rsidP="00BE4659">
      <w:pPr>
        <w:jc w:val="both"/>
        <w:rPr>
          <w:rFonts w:ascii="Arial Narrow" w:hAnsi="Arial Narrow" w:cs="Arial"/>
          <w:sz w:val="26"/>
          <w:szCs w:val="26"/>
        </w:rPr>
      </w:pPr>
    </w:p>
    <w:p w14:paraId="7AAD0BE6" w14:textId="4BF0550F" w:rsidR="00FC2DA5" w:rsidRDefault="00A85F8E" w:rsidP="00BE4659">
      <w:pPr>
        <w:jc w:val="both"/>
        <w:rPr>
          <w:rFonts w:ascii="Arial Narrow" w:hAnsi="Arial Narrow" w:cs="Arial"/>
          <w:sz w:val="26"/>
          <w:szCs w:val="26"/>
        </w:rPr>
      </w:pPr>
      <w:r>
        <w:rPr>
          <w:rFonts w:ascii="Arial Narrow" w:hAnsi="Arial Narrow" w:cs="Arial"/>
          <w:sz w:val="26"/>
          <w:szCs w:val="26"/>
        </w:rPr>
        <w:t>En los ANEXOS I, II y III están los valores de estos indicadores por empresa distribuidora, que se monitorean a través del Sistema Único de Cuentas (SUC); y a</w:t>
      </w:r>
      <w:r w:rsidR="00FC2DA5">
        <w:rPr>
          <w:rFonts w:ascii="Arial Narrow" w:hAnsi="Arial Narrow" w:cs="Arial"/>
          <w:sz w:val="26"/>
          <w:szCs w:val="26"/>
        </w:rPr>
        <w:t xml:space="preserve"> continuación</w:t>
      </w:r>
      <w:r w:rsidR="00A20054">
        <w:rPr>
          <w:rFonts w:ascii="Arial Narrow" w:hAnsi="Arial Narrow" w:cs="Arial"/>
          <w:sz w:val="26"/>
          <w:szCs w:val="26"/>
        </w:rPr>
        <w:t>,</w:t>
      </w:r>
      <w:r w:rsidR="00FC2DA5">
        <w:rPr>
          <w:rFonts w:ascii="Arial Narrow" w:hAnsi="Arial Narrow" w:cs="Arial"/>
          <w:sz w:val="26"/>
          <w:szCs w:val="26"/>
        </w:rPr>
        <w:t xml:space="preserve"> procedemos a revisar el </w:t>
      </w:r>
      <w:r w:rsidR="00A20054">
        <w:rPr>
          <w:rFonts w:ascii="Arial Narrow" w:hAnsi="Arial Narrow" w:cs="Arial"/>
          <w:sz w:val="26"/>
          <w:szCs w:val="26"/>
        </w:rPr>
        <w:t>comportamiento de cada uno de los indicadores.</w:t>
      </w:r>
    </w:p>
    <w:p w14:paraId="3438DCD8" w14:textId="10ABA35F" w:rsidR="005C72D5" w:rsidRDefault="005C72D5" w:rsidP="00BE4659">
      <w:pPr>
        <w:jc w:val="both"/>
        <w:rPr>
          <w:rFonts w:ascii="Arial Narrow" w:hAnsi="Arial Narrow" w:cs="Arial"/>
          <w:sz w:val="26"/>
          <w:szCs w:val="26"/>
        </w:rPr>
      </w:pPr>
    </w:p>
    <w:p w14:paraId="68DFA245" w14:textId="2BE8AA82" w:rsidR="005C72D5" w:rsidRPr="008B564D" w:rsidRDefault="005C72D5" w:rsidP="005C72D5">
      <w:pPr>
        <w:pStyle w:val="Ttulo1"/>
        <w:numPr>
          <w:ilvl w:val="0"/>
          <w:numId w:val="21"/>
        </w:numPr>
        <w:jc w:val="left"/>
        <w:rPr>
          <w:rFonts w:ascii="Arial Narrow" w:hAnsi="Arial Narrow" w:cs="Arial"/>
          <w:b/>
          <w:sz w:val="26"/>
          <w:szCs w:val="26"/>
        </w:rPr>
      </w:pPr>
      <w:bookmarkStart w:id="15" w:name="_Toc114065693"/>
      <w:r>
        <w:rPr>
          <w:rFonts w:ascii="Arial Narrow" w:hAnsi="Arial Narrow" w:cs="Arial"/>
          <w:b/>
          <w:sz w:val="26"/>
          <w:szCs w:val="26"/>
        </w:rPr>
        <w:t xml:space="preserve">PÉRDIDAS (%), </w:t>
      </w:r>
      <w:r w:rsidR="00B67487">
        <w:rPr>
          <w:rFonts w:ascii="Arial Narrow" w:hAnsi="Arial Narrow" w:cs="Arial"/>
          <w:b/>
          <w:sz w:val="26"/>
          <w:szCs w:val="26"/>
        </w:rPr>
        <w:t>ABRIL</w:t>
      </w:r>
      <w:r>
        <w:rPr>
          <w:rFonts w:ascii="Arial Narrow" w:hAnsi="Arial Narrow" w:cs="Arial"/>
          <w:b/>
          <w:sz w:val="26"/>
          <w:szCs w:val="26"/>
        </w:rPr>
        <w:t xml:space="preserve"> – </w:t>
      </w:r>
      <w:r w:rsidR="00B67487">
        <w:rPr>
          <w:rFonts w:ascii="Arial Narrow" w:hAnsi="Arial Narrow" w:cs="Arial"/>
          <w:b/>
          <w:sz w:val="26"/>
          <w:szCs w:val="26"/>
        </w:rPr>
        <w:t>JUNIO</w:t>
      </w:r>
      <w:r>
        <w:rPr>
          <w:rFonts w:ascii="Arial Narrow" w:hAnsi="Arial Narrow" w:cs="Arial"/>
          <w:b/>
          <w:sz w:val="26"/>
          <w:szCs w:val="26"/>
        </w:rPr>
        <w:t xml:space="preserve"> 202</w:t>
      </w:r>
      <w:r w:rsidR="00D0471A">
        <w:rPr>
          <w:rFonts w:ascii="Arial Narrow" w:hAnsi="Arial Narrow" w:cs="Arial"/>
          <w:b/>
          <w:sz w:val="26"/>
          <w:szCs w:val="26"/>
        </w:rPr>
        <w:t>2</w:t>
      </w:r>
      <w:r>
        <w:rPr>
          <w:rFonts w:ascii="Arial Narrow" w:hAnsi="Arial Narrow" w:cs="Arial"/>
          <w:b/>
          <w:sz w:val="26"/>
          <w:szCs w:val="26"/>
        </w:rPr>
        <w:t>.</w:t>
      </w:r>
      <w:bookmarkEnd w:id="15"/>
    </w:p>
    <w:p w14:paraId="666131F1" w14:textId="709292D6" w:rsidR="005C72D5" w:rsidRDefault="005C72D5" w:rsidP="005C72D5">
      <w:pPr>
        <w:spacing w:line="276" w:lineRule="auto"/>
        <w:jc w:val="both"/>
        <w:rPr>
          <w:rFonts w:ascii="Arial Narrow" w:hAnsi="Arial Narrow" w:cs="Arial"/>
          <w:sz w:val="26"/>
          <w:szCs w:val="26"/>
        </w:rPr>
      </w:pPr>
    </w:p>
    <w:p w14:paraId="2FF3554E" w14:textId="77777777" w:rsidR="00B55410" w:rsidRPr="00594D35" w:rsidRDefault="00B55410" w:rsidP="00B55410">
      <w:pPr>
        <w:spacing w:line="276" w:lineRule="auto"/>
        <w:jc w:val="both"/>
        <w:rPr>
          <w:rFonts w:ascii="Arial Narrow" w:hAnsi="Arial Narrow" w:cs="Arial"/>
          <w:sz w:val="26"/>
          <w:szCs w:val="26"/>
        </w:rPr>
      </w:pPr>
      <w:r>
        <w:rPr>
          <w:rFonts w:ascii="Arial Narrow" w:hAnsi="Arial Narrow" w:cs="Arial"/>
          <w:sz w:val="26"/>
          <w:szCs w:val="26"/>
        </w:rPr>
        <w:t xml:space="preserve">Tomando en cuenta la definición de este indicador, de cara a lo consensuado en el Pacto Eléctrico y establecido formalmente en la resolución SIE-061-2021-MEMI, la metodología de cálculo de las “Pérdidas de energía (%)” </w:t>
      </w:r>
      <w:r w:rsidRPr="00594D35">
        <w:rPr>
          <w:rFonts w:ascii="Arial Narrow" w:hAnsi="Arial Narrow" w:cs="Arial"/>
          <w:sz w:val="26"/>
          <w:szCs w:val="26"/>
        </w:rPr>
        <w:t>se detalla a continuación:</w:t>
      </w:r>
    </w:p>
    <w:p w14:paraId="251C687B" w14:textId="77777777" w:rsidR="00B55410" w:rsidRPr="00594D35" w:rsidRDefault="00B55410" w:rsidP="00B55410">
      <w:pPr>
        <w:spacing w:line="276" w:lineRule="auto"/>
        <w:jc w:val="both"/>
        <w:rPr>
          <w:rFonts w:ascii="Arial Narrow" w:hAnsi="Arial Narrow" w:cs="Arial"/>
          <w:sz w:val="26"/>
          <w:szCs w:val="26"/>
        </w:rPr>
      </w:pPr>
    </w:p>
    <w:p w14:paraId="4DE0F3AD" w14:textId="77777777" w:rsidR="00B55410" w:rsidRPr="00594D35" w:rsidRDefault="00B63E31" w:rsidP="00B55410">
      <w:pPr>
        <w:spacing w:line="276" w:lineRule="auto"/>
        <w:jc w:val="both"/>
        <w:rPr>
          <w:rFonts w:ascii="Arial Narrow" w:hAnsi="Arial Narrow" w:cs="Arial"/>
          <w:sz w:val="26"/>
          <w:szCs w:val="26"/>
        </w:rPr>
      </w:pPr>
      <m:oMathPara>
        <m:oMath>
          <m:sSub>
            <m:sSubPr>
              <m:ctrlPr>
                <w:rPr>
                  <w:rFonts w:ascii="Cambria Math" w:hAnsi="Cambria Math" w:cs="Arial"/>
                  <w:sz w:val="26"/>
                  <w:szCs w:val="26"/>
                </w:rPr>
              </m:ctrlPr>
            </m:sSubPr>
            <m:e>
              <m:r>
                <w:rPr>
                  <w:rFonts w:ascii="Cambria Math" w:hAnsi="Cambria Math" w:cs="Arial"/>
                  <w:sz w:val="26"/>
                  <w:szCs w:val="26"/>
                </w:rPr>
                <m:t>PE</m:t>
              </m:r>
            </m:e>
            <m:sub>
              <m:r>
                <w:rPr>
                  <w:rFonts w:ascii="Cambria Math" w:hAnsi="Cambria Math" w:cs="Arial"/>
                  <w:sz w:val="26"/>
                  <w:szCs w:val="26"/>
                </w:rPr>
                <m:t>t</m:t>
              </m:r>
            </m:sub>
          </m:sSub>
          <m:r>
            <m:rPr>
              <m:sty m:val="p"/>
            </m:rPr>
            <w:rPr>
              <w:rFonts w:ascii="Cambria Math" w:hAnsi="Cambria Math" w:cs="Arial"/>
              <w:sz w:val="26"/>
              <w:szCs w:val="26"/>
            </w:rPr>
            <m:t xml:space="preserve">= </m:t>
          </m:r>
          <m:d>
            <m:dPr>
              <m:begChr m:val="["/>
              <m:endChr m:val="]"/>
              <m:ctrlPr>
                <w:rPr>
                  <w:rFonts w:ascii="Cambria Math" w:hAnsi="Cambria Math" w:cs="Arial"/>
                  <w:sz w:val="26"/>
                  <w:szCs w:val="26"/>
                </w:rPr>
              </m:ctrlPr>
            </m:dPr>
            <m:e>
              <m:r>
                <m:rPr>
                  <m:sty m:val="p"/>
                </m:rPr>
                <w:rPr>
                  <w:rFonts w:ascii="Cambria Math" w:hAnsi="Cambria Math" w:cs="Arial"/>
                  <w:sz w:val="26"/>
                  <w:szCs w:val="26"/>
                </w:rPr>
                <m:t>1</m:t>
              </m:r>
              <m:r>
                <m:rPr>
                  <m:sty m:val="p"/>
                </m:rPr>
                <w:rPr>
                  <w:rFonts w:ascii="Cambria Math" w:hAnsi="Cambria Math" w:cs="Arial"/>
                  <w:sz w:val="26"/>
                  <w:szCs w:val="26"/>
                </w:rPr>
                <m:t>-</m:t>
              </m:r>
              <m:d>
                <m:dPr>
                  <m:ctrlPr>
                    <w:rPr>
                      <w:rFonts w:ascii="Cambria Math" w:hAnsi="Cambria Math" w:cs="Arial"/>
                      <w:sz w:val="26"/>
                      <w:szCs w:val="26"/>
                    </w:rPr>
                  </m:ctrlPr>
                </m:dPr>
                <m:e>
                  <m:f>
                    <m:fPr>
                      <m:ctrlPr>
                        <w:rPr>
                          <w:rFonts w:ascii="Cambria Math" w:hAnsi="Cambria Math" w:cs="Arial"/>
                          <w:sz w:val="26"/>
                          <w:szCs w:val="26"/>
                        </w:rPr>
                      </m:ctrlPr>
                    </m:fPr>
                    <m:num>
                      <m:sSub>
                        <m:sSubPr>
                          <m:ctrlPr>
                            <w:rPr>
                              <w:rFonts w:ascii="Cambria Math" w:hAnsi="Cambria Math" w:cs="Arial"/>
                              <w:sz w:val="26"/>
                              <w:szCs w:val="26"/>
                            </w:rPr>
                          </m:ctrlPr>
                        </m:sSubPr>
                        <m:e>
                          <m:r>
                            <w:rPr>
                              <w:rFonts w:ascii="Cambria Math" w:hAnsi="Cambria Math" w:cs="Arial"/>
                              <w:sz w:val="26"/>
                              <w:szCs w:val="26"/>
                            </w:rPr>
                            <m:t>EF</m:t>
                          </m:r>
                        </m:e>
                        <m:sub>
                          <m:r>
                            <w:rPr>
                              <w:rFonts w:ascii="Cambria Math" w:hAnsi="Cambria Math" w:cs="Arial"/>
                              <w:sz w:val="26"/>
                              <w:szCs w:val="26"/>
                            </w:rPr>
                            <m:t>t</m:t>
                          </m:r>
                        </m:sub>
                      </m:sSub>
                    </m:num>
                    <m:den>
                      <m:sSub>
                        <m:sSubPr>
                          <m:ctrlPr>
                            <w:rPr>
                              <w:rFonts w:ascii="Cambria Math" w:hAnsi="Cambria Math" w:cs="Arial"/>
                              <w:sz w:val="26"/>
                              <w:szCs w:val="26"/>
                            </w:rPr>
                          </m:ctrlPr>
                        </m:sSubPr>
                        <m:e>
                          <m:r>
                            <w:rPr>
                              <w:rFonts w:ascii="Cambria Math" w:hAnsi="Cambria Math" w:cs="Arial"/>
                              <w:sz w:val="26"/>
                              <w:szCs w:val="26"/>
                            </w:rPr>
                            <m:t>C</m:t>
                          </m:r>
                        </m:e>
                        <m:sub>
                          <m:r>
                            <w:rPr>
                              <w:rFonts w:ascii="Cambria Math" w:hAnsi="Cambria Math" w:cs="Arial"/>
                              <w:sz w:val="26"/>
                              <w:szCs w:val="26"/>
                            </w:rPr>
                            <m:t>t</m:t>
                          </m:r>
                        </m:sub>
                      </m:sSub>
                    </m:den>
                  </m:f>
                </m:e>
              </m:d>
            </m:e>
          </m:d>
          <m:r>
            <m:rPr>
              <m:sty m:val="p"/>
            </m:rPr>
            <w:rPr>
              <w:rFonts w:ascii="Cambria Math" w:hAnsi="Cambria Math" w:cs="Arial"/>
              <w:sz w:val="26"/>
              <w:szCs w:val="26"/>
            </w:rPr>
            <m:t>*</m:t>
          </m:r>
          <m:r>
            <m:rPr>
              <m:sty m:val="p"/>
            </m:rPr>
            <w:rPr>
              <w:rFonts w:ascii="Cambria Math" w:hAnsi="Cambria Math" w:cs="Arial"/>
              <w:sz w:val="26"/>
              <w:szCs w:val="26"/>
            </w:rPr>
            <m:t>100</m:t>
          </m:r>
        </m:oMath>
      </m:oMathPara>
    </w:p>
    <w:p w14:paraId="49F10824" w14:textId="77777777" w:rsidR="00B55410" w:rsidRDefault="00B55410" w:rsidP="00B55410">
      <w:pPr>
        <w:spacing w:line="276" w:lineRule="auto"/>
        <w:jc w:val="both"/>
        <w:rPr>
          <w:rFonts w:ascii="Arial Narrow" w:hAnsi="Arial Narrow" w:cs="Arial"/>
          <w:sz w:val="26"/>
          <w:szCs w:val="26"/>
        </w:rPr>
      </w:pPr>
    </w:p>
    <w:p w14:paraId="3ED2342E" w14:textId="77777777" w:rsidR="00B55410" w:rsidRPr="00594D35" w:rsidRDefault="00B55410" w:rsidP="00B55410">
      <w:pPr>
        <w:spacing w:line="276" w:lineRule="auto"/>
        <w:jc w:val="both"/>
        <w:rPr>
          <w:rFonts w:ascii="Arial Narrow" w:hAnsi="Arial Narrow" w:cs="Arial"/>
          <w:sz w:val="26"/>
          <w:szCs w:val="26"/>
        </w:rPr>
      </w:pPr>
      <w:r w:rsidRPr="00594D35">
        <w:rPr>
          <w:rFonts w:ascii="Arial Narrow" w:hAnsi="Arial Narrow" w:cs="Arial"/>
          <w:sz w:val="26"/>
          <w:szCs w:val="26"/>
        </w:rPr>
        <w:t xml:space="preserve">Donde: </w:t>
      </w:r>
    </w:p>
    <w:p w14:paraId="2128A028" w14:textId="77777777" w:rsidR="00B55410" w:rsidRPr="00594D35" w:rsidRDefault="00B55410" w:rsidP="00B55410">
      <w:pPr>
        <w:spacing w:line="276" w:lineRule="auto"/>
        <w:jc w:val="both"/>
        <w:rPr>
          <w:rFonts w:ascii="Arial Narrow" w:hAnsi="Arial Narrow" w:cs="Arial"/>
          <w:sz w:val="26"/>
          <w:szCs w:val="26"/>
        </w:rPr>
      </w:pPr>
    </w:p>
    <w:p w14:paraId="2E94D109" w14:textId="77777777" w:rsidR="00B55410" w:rsidRPr="00594D35" w:rsidRDefault="00B63E31" w:rsidP="00B55410">
      <w:pPr>
        <w:spacing w:line="276" w:lineRule="auto"/>
        <w:jc w:val="both"/>
        <w:rPr>
          <w:rFonts w:ascii="Arial Narrow" w:hAnsi="Arial Narrow" w:cs="Arial"/>
          <w:sz w:val="26"/>
          <w:szCs w:val="26"/>
        </w:rPr>
      </w:pPr>
      <m:oMath>
        <m:sSub>
          <m:sSubPr>
            <m:ctrlPr>
              <w:rPr>
                <w:rFonts w:ascii="Cambria Math" w:hAnsi="Cambria Math" w:cs="Arial"/>
                <w:sz w:val="26"/>
                <w:szCs w:val="26"/>
              </w:rPr>
            </m:ctrlPr>
          </m:sSubPr>
          <m:e>
            <m:r>
              <w:rPr>
                <w:rFonts w:ascii="Cambria Math" w:hAnsi="Cambria Math" w:cs="Arial"/>
                <w:sz w:val="26"/>
                <w:szCs w:val="26"/>
              </w:rPr>
              <m:t>PE</m:t>
            </m:r>
          </m:e>
          <m:sub>
            <m:r>
              <w:rPr>
                <w:rFonts w:ascii="Cambria Math" w:hAnsi="Cambria Math" w:cs="Arial"/>
                <w:sz w:val="26"/>
                <w:szCs w:val="26"/>
              </w:rPr>
              <m:t>t</m:t>
            </m:r>
          </m:sub>
        </m:sSub>
      </m:oMath>
      <w:r w:rsidR="00B55410" w:rsidRPr="00594D35">
        <w:rPr>
          <w:rFonts w:ascii="Arial Narrow" w:hAnsi="Arial Narrow" w:cs="Arial"/>
          <w:sz w:val="26"/>
          <w:szCs w:val="26"/>
        </w:rPr>
        <w:t>:</w:t>
      </w:r>
      <w:r w:rsidR="00B55410" w:rsidRPr="00594D35">
        <w:rPr>
          <w:rFonts w:ascii="Arial Narrow" w:hAnsi="Arial Narrow" w:cs="Arial"/>
          <w:sz w:val="26"/>
          <w:szCs w:val="26"/>
        </w:rPr>
        <w:tab/>
        <w:t>Se refiere a las pérdidas totales de energía del mes t, medidas en porcentaje.</w:t>
      </w:r>
    </w:p>
    <w:p w14:paraId="1E240A15" w14:textId="77777777" w:rsidR="00B55410" w:rsidRPr="00594D35" w:rsidRDefault="00B63E31" w:rsidP="00B55410">
      <w:pPr>
        <w:spacing w:line="276" w:lineRule="auto"/>
        <w:jc w:val="both"/>
        <w:rPr>
          <w:rFonts w:ascii="Arial Narrow" w:hAnsi="Arial Narrow" w:cs="Arial"/>
          <w:sz w:val="26"/>
          <w:szCs w:val="26"/>
        </w:rPr>
      </w:pPr>
      <m:oMath>
        <m:sSub>
          <m:sSubPr>
            <m:ctrlPr>
              <w:rPr>
                <w:rFonts w:ascii="Cambria Math" w:hAnsi="Cambria Math" w:cs="Arial"/>
                <w:sz w:val="26"/>
                <w:szCs w:val="26"/>
              </w:rPr>
            </m:ctrlPr>
          </m:sSubPr>
          <m:e>
            <m:r>
              <w:rPr>
                <w:rFonts w:ascii="Cambria Math" w:hAnsi="Cambria Math" w:cs="Arial"/>
                <w:sz w:val="26"/>
                <w:szCs w:val="26"/>
              </w:rPr>
              <m:t>EF</m:t>
            </m:r>
          </m:e>
          <m:sub>
            <m:r>
              <w:rPr>
                <w:rFonts w:ascii="Cambria Math" w:hAnsi="Cambria Math" w:cs="Arial"/>
                <w:sz w:val="26"/>
                <w:szCs w:val="26"/>
              </w:rPr>
              <m:t>t</m:t>
            </m:r>
          </m:sub>
        </m:sSub>
      </m:oMath>
      <w:r w:rsidR="00B55410" w:rsidRPr="00594D35">
        <w:rPr>
          <w:rFonts w:ascii="Arial Narrow" w:hAnsi="Arial Narrow" w:cs="Arial"/>
          <w:sz w:val="26"/>
          <w:szCs w:val="26"/>
        </w:rPr>
        <w:t>:</w:t>
      </w:r>
      <w:r w:rsidR="00B55410" w:rsidRPr="00594D35">
        <w:rPr>
          <w:rFonts w:ascii="Arial Narrow" w:hAnsi="Arial Narrow" w:cs="Arial"/>
          <w:sz w:val="26"/>
          <w:szCs w:val="26"/>
        </w:rPr>
        <w:tab/>
        <w:t>Es la energía total facturada a todos los clientes (Usuarios Regulados y No Regulados) de las empresas distribuidoras de electricidad (EDE) en el mes t, medida en GWh.</w:t>
      </w:r>
    </w:p>
    <w:p w14:paraId="67A389DD" w14:textId="77777777" w:rsidR="00B55410" w:rsidRPr="00594D35" w:rsidRDefault="00B55410" w:rsidP="00B55410">
      <w:pPr>
        <w:spacing w:line="276" w:lineRule="auto"/>
        <w:jc w:val="both"/>
        <w:rPr>
          <w:rFonts w:ascii="Arial Narrow" w:hAnsi="Arial Narrow" w:cs="Arial"/>
          <w:sz w:val="26"/>
          <w:szCs w:val="26"/>
        </w:rPr>
      </w:pPr>
      <w:r w:rsidRPr="00594D35">
        <w:rPr>
          <w:rFonts w:ascii="Arial Narrow" w:hAnsi="Arial Narrow" w:cs="Arial"/>
          <w:noProof/>
          <w:sz w:val="26"/>
          <w:szCs w:val="26"/>
          <w:lang w:val="es-DO" w:eastAsia="es-DO"/>
        </w:rPr>
        <mc:AlternateContent>
          <mc:Choice Requires="wps">
            <w:drawing>
              <wp:inline distT="0" distB="0" distL="0" distR="0" wp14:anchorId="15F96870" wp14:editId="1C283D92">
                <wp:extent cx="5327650" cy="1790700"/>
                <wp:effectExtent l="0" t="0" r="44450" b="57150"/>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0" cy="1790700"/>
                        </a:xfrm>
                        <a:prstGeom prst="rect">
                          <a:avLst/>
                        </a:prstGeom>
                        <a:solidFill>
                          <a:srgbClr val="FFFAEB"/>
                        </a:solidFill>
                        <a:ln w="12700" algn="ctr">
                          <a:solidFill>
                            <a:srgbClr val="5A5A5A"/>
                          </a:solidFill>
                          <a:miter lim="800000"/>
                          <a:headEnd/>
                          <a:tailEnd/>
                        </a:ln>
                        <a:effectLst>
                          <a:outerShdw dist="28398" dir="3806097" algn="ctr" rotWithShape="0">
                            <a:srgbClr val="7F7F7F">
                              <a:alpha val="50000"/>
                            </a:srgbClr>
                          </a:outerShdw>
                        </a:effectLst>
                      </wps:spPr>
                      <wps:txbx>
                        <w:txbxContent>
                          <w:p w14:paraId="5B947418" w14:textId="77777777" w:rsidR="00B71001" w:rsidRPr="00594D35" w:rsidRDefault="00B71001" w:rsidP="00B55410">
                            <w:pPr>
                              <w:jc w:val="both"/>
                              <w:rPr>
                                <w:rFonts w:ascii="Arial Narrow" w:hAnsi="Arial Narrow" w:cs="Arial"/>
                                <w:sz w:val="26"/>
                                <w:szCs w:val="26"/>
                              </w:rPr>
                            </w:pPr>
                            <w:r w:rsidRPr="00594D35">
                              <w:rPr>
                                <w:rFonts w:ascii="Arial Narrow" w:hAnsi="Arial Narrow" w:cs="Arial"/>
                                <w:sz w:val="26"/>
                                <w:szCs w:val="26"/>
                              </w:rPr>
                              <w:t>Notas:</w:t>
                            </w:r>
                          </w:p>
                          <w:p w14:paraId="6936B57F" w14:textId="77777777" w:rsidR="00B71001" w:rsidRPr="00594D35" w:rsidRDefault="00B71001" w:rsidP="00B55410">
                            <w:pPr>
                              <w:numPr>
                                <w:ilvl w:val="0"/>
                                <w:numId w:val="27"/>
                              </w:numPr>
                              <w:spacing w:after="60" w:line="276" w:lineRule="auto"/>
                              <w:ind w:left="426" w:hanging="284"/>
                              <w:jc w:val="both"/>
                              <w:rPr>
                                <w:rFonts w:ascii="Arial Narrow" w:hAnsi="Arial Narrow" w:cs="Arial"/>
                                <w:sz w:val="26"/>
                                <w:szCs w:val="26"/>
                              </w:rPr>
                            </w:pPr>
                            <w:r w:rsidRPr="00594D35">
                              <w:rPr>
                                <w:rFonts w:ascii="Arial Narrow" w:hAnsi="Arial Narrow" w:cs="Arial"/>
                                <w:sz w:val="26"/>
                                <w:szCs w:val="26"/>
                              </w:rPr>
                              <w:t>Incluir energía facturada (GWh) por consumo propio de la (EDE) en el mes t.</w:t>
                            </w:r>
                          </w:p>
                          <w:p w14:paraId="72DDB195" w14:textId="77777777" w:rsidR="00B71001" w:rsidRPr="00594D35" w:rsidRDefault="00B71001" w:rsidP="00B55410">
                            <w:pPr>
                              <w:numPr>
                                <w:ilvl w:val="0"/>
                                <w:numId w:val="27"/>
                              </w:numPr>
                              <w:spacing w:after="60" w:line="276" w:lineRule="auto"/>
                              <w:ind w:left="426" w:hanging="284"/>
                              <w:jc w:val="both"/>
                              <w:rPr>
                                <w:rFonts w:ascii="Arial Narrow" w:hAnsi="Arial Narrow" w:cs="Arial"/>
                                <w:sz w:val="26"/>
                                <w:szCs w:val="26"/>
                              </w:rPr>
                            </w:pPr>
                            <w:r w:rsidRPr="00594D35">
                              <w:rPr>
                                <w:rFonts w:ascii="Arial Narrow" w:hAnsi="Arial Narrow" w:cs="Arial"/>
                                <w:sz w:val="26"/>
                                <w:szCs w:val="26"/>
                              </w:rPr>
                              <w:t>Incluir energía facturada (GWh) a suministros prepago en el mes t.</w:t>
                            </w:r>
                          </w:p>
                          <w:p w14:paraId="3DF2A946" w14:textId="77777777" w:rsidR="00B71001" w:rsidRPr="00594D35" w:rsidRDefault="00B71001" w:rsidP="00B55410">
                            <w:pPr>
                              <w:numPr>
                                <w:ilvl w:val="0"/>
                                <w:numId w:val="27"/>
                              </w:numPr>
                              <w:spacing w:after="60" w:line="276" w:lineRule="auto"/>
                              <w:ind w:left="426" w:hanging="284"/>
                              <w:jc w:val="both"/>
                              <w:rPr>
                                <w:rFonts w:ascii="Arial Narrow" w:hAnsi="Arial Narrow" w:cs="Arial"/>
                                <w:sz w:val="26"/>
                                <w:szCs w:val="26"/>
                              </w:rPr>
                            </w:pPr>
                            <w:r w:rsidRPr="00594D35">
                              <w:rPr>
                                <w:rFonts w:ascii="Arial Narrow" w:hAnsi="Arial Narrow" w:cs="Arial"/>
                                <w:sz w:val="26"/>
                                <w:szCs w:val="26"/>
                              </w:rPr>
                              <w:t>Incluir energía recuperada (GWh) en el mes t.</w:t>
                            </w:r>
                          </w:p>
                          <w:p w14:paraId="2154BDEB" w14:textId="77777777" w:rsidR="00B71001" w:rsidRPr="00594D35" w:rsidRDefault="00B71001" w:rsidP="00B55410">
                            <w:pPr>
                              <w:numPr>
                                <w:ilvl w:val="0"/>
                                <w:numId w:val="27"/>
                              </w:numPr>
                              <w:spacing w:after="60" w:line="276" w:lineRule="auto"/>
                              <w:ind w:left="426" w:hanging="284"/>
                              <w:jc w:val="both"/>
                              <w:rPr>
                                <w:rFonts w:ascii="Arial Narrow" w:hAnsi="Arial Narrow" w:cs="Arial"/>
                                <w:sz w:val="26"/>
                                <w:szCs w:val="26"/>
                              </w:rPr>
                            </w:pPr>
                            <w:r w:rsidRPr="00594D35">
                              <w:rPr>
                                <w:rFonts w:ascii="Arial Narrow" w:hAnsi="Arial Narrow" w:cs="Arial"/>
                                <w:sz w:val="26"/>
                                <w:szCs w:val="26"/>
                              </w:rPr>
                              <w:t>Incluir créditos y débitos de energía (GWh) realizadas en el mes t.</w:t>
                            </w:r>
                          </w:p>
                          <w:p w14:paraId="4B06B1E5" w14:textId="77777777" w:rsidR="00B71001" w:rsidRPr="00594D35" w:rsidRDefault="00B71001" w:rsidP="00B55410">
                            <w:pPr>
                              <w:numPr>
                                <w:ilvl w:val="0"/>
                                <w:numId w:val="27"/>
                              </w:numPr>
                              <w:spacing w:after="60" w:line="276" w:lineRule="auto"/>
                              <w:ind w:left="426" w:hanging="284"/>
                              <w:jc w:val="both"/>
                              <w:rPr>
                                <w:rFonts w:ascii="Arial Narrow" w:hAnsi="Arial Narrow" w:cs="Arial"/>
                                <w:sz w:val="26"/>
                                <w:szCs w:val="26"/>
                              </w:rPr>
                            </w:pPr>
                            <w:r w:rsidRPr="00594D35">
                              <w:rPr>
                                <w:rFonts w:ascii="Arial Narrow" w:hAnsi="Arial Narrow" w:cs="Arial"/>
                                <w:sz w:val="26"/>
                                <w:szCs w:val="26"/>
                              </w:rPr>
                              <w:t>EDESUR incluir facturación de energía (GWh) a clientes del Sistema Aislado de Pedernales.</w:t>
                            </w:r>
                          </w:p>
                          <w:p w14:paraId="5AE369A5" w14:textId="77777777" w:rsidR="00B71001" w:rsidRPr="00594D35" w:rsidRDefault="00B71001" w:rsidP="00B55410">
                            <w:pPr>
                              <w:rPr>
                                <w:rFonts w:ascii="Arial Narrow" w:hAnsi="Arial Narrow" w:cs="Arial"/>
                                <w:color w:val="FFFFFF"/>
                                <w:sz w:val="26"/>
                                <w:szCs w:val="26"/>
                              </w:rPr>
                            </w:pPr>
                          </w:p>
                          <w:p w14:paraId="6158B568" w14:textId="77777777" w:rsidR="00B71001" w:rsidRPr="00594D35" w:rsidRDefault="00B71001" w:rsidP="00B55410">
                            <w:pPr>
                              <w:jc w:val="both"/>
                              <w:rPr>
                                <w:rFonts w:ascii="Arial Narrow" w:hAnsi="Arial Narrow"/>
                                <w:sz w:val="26"/>
                                <w:szCs w:val="26"/>
                              </w:rPr>
                            </w:pPr>
                          </w:p>
                          <w:p w14:paraId="23344826" w14:textId="77777777" w:rsidR="00B71001" w:rsidRPr="00594D35" w:rsidRDefault="00B71001" w:rsidP="00B55410">
                            <w:pPr>
                              <w:rPr>
                                <w:rFonts w:ascii="Arial Narrow" w:hAnsi="Arial Narrow"/>
                                <w:sz w:val="26"/>
                                <w:szCs w:val="26"/>
                              </w:rPr>
                            </w:pPr>
                          </w:p>
                        </w:txbxContent>
                      </wps:txbx>
                      <wps:bodyPr rot="0" vert="horz" wrap="square" lIns="91440" tIns="45720" rIns="91440" bIns="45720" anchor="ctr" anchorCtr="0" upright="1">
                        <a:noAutofit/>
                      </wps:bodyPr>
                    </wps:wsp>
                  </a:graphicData>
                </a:graphic>
              </wp:inline>
            </w:drawing>
          </mc:Choice>
          <mc:Fallback>
            <w:pict>
              <v:rect w14:anchorId="15F96870" id="Rectángulo 8" o:spid="_x0000_s1031" style="width:419.5pt;height:1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" fillcolor="#fffaeb" strokecolor="#5a5a5a" strokeweight="1pt">
                <v:shadow on="t" color="#7f7f7f" opacity=".5" offset="1pt"/>
                <v:textbox>
                  <w:txbxContent>
                    <w:p w14:paraId="5B947418" w14:textId="77777777" w:rsidR="00B71001" w:rsidRPr="00594D35" w:rsidRDefault="00B71001" w:rsidP="00B55410">
                      <w:pPr>
                        <w:jc w:val="both"/>
                        <w:rPr>
                          <w:rFonts w:ascii="Arial Narrow" w:hAnsi="Arial Narrow" w:cs="Arial"/>
                          <w:sz w:val="26"/>
                          <w:szCs w:val="26"/>
                        </w:rPr>
                      </w:pPr>
                      <w:r w:rsidRPr="00594D35">
                        <w:rPr>
                          <w:rFonts w:ascii="Arial Narrow" w:hAnsi="Arial Narrow" w:cs="Arial"/>
                          <w:sz w:val="26"/>
                          <w:szCs w:val="26"/>
                        </w:rPr>
                        <w:t>Notas:</w:t>
                      </w:r>
                    </w:p>
                    <w:p w14:paraId="6936B57F" w14:textId="77777777" w:rsidR="00B71001" w:rsidRPr="00594D35" w:rsidRDefault="00B71001" w:rsidP="00B55410">
                      <w:pPr>
                        <w:numPr>
                          <w:ilvl w:val="0"/>
                          <w:numId w:val="27"/>
                        </w:numPr>
                        <w:spacing w:after="60" w:line="276" w:lineRule="auto"/>
                        <w:ind w:left="426" w:hanging="284"/>
                        <w:jc w:val="both"/>
                        <w:rPr>
                          <w:rFonts w:ascii="Arial Narrow" w:hAnsi="Arial Narrow" w:cs="Arial"/>
                          <w:sz w:val="26"/>
                          <w:szCs w:val="26"/>
                        </w:rPr>
                      </w:pPr>
                      <w:r w:rsidRPr="00594D35">
                        <w:rPr>
                          <w:rFonts w:ascii="Arial Narrow" w:hAnsi="Arial Narrow" w:cs="Arial"/>
                          <w:sz w:val="26"/>
                          <w:szCs w:val="26"/>
                        </w:rPr>
                        <w:t>Incluir energía facturada (GWh) por consumo propio de la (EDE) en el mes t.</w:t>
                      </w:r>
                    </w:p>
                    <w:p w14:paraId="72DDB195" w14:textId="77777777" w:rsidR="00B71001" w:rsidRPr="00594D35" w:rsidRDefault="00B71001" w:rsidP="00B55410">
                      <w:pPr>
                        <w:numPr>
                          <w:ilvl w:val="0"/>
                          <w:numId w:val="27"/>
                        </w:numPr>
                        <w:spacing w:after="60" w:line="276" w:lineRule="auto"/>
                        <w:ind w:left="426" w:hanging="284"/>
                        <w:jc w:val="both"/>
                        <w:rPr>
                          <w:rFonts w:ascii="Arial Narrow" w:hAnsi="Arial Narrow" w:cs="Arial"/>
                          <w:sz w:val="26"/>
                          <w:szCs w:val="26"/>
                        </w:rPr>
                      </w:pPr>
                      <w:r w:rsidRPr="00594D35">
                        <w:rPr>
                          <w:rFonts w:ascii="Arial Narrow" w:hAnsi="Arial Narrow" w:cs="Arial"/>
                          <w:sz w:val="26"/>
                          <w:szCs w:val="26"/>
                        </w:rPr>
                        <w:t>Incluir energía facturada (GWh) a suministros prepago en el mes t.</w:t>
                      </w:r>
                    </w:p>
                    <w:p w14:paraId="3DF2A946" w14:textId="77777777" w:rsidR="00B71001" w:rsidRPr="00594D35" w:rsidRDefault="00B71001" w:rsidP="00B55410">
                      <w:pPr>
                        <w:numPr>
                          <w:ilvl w:val="0"/>
                          <w:numId w:val="27"/>
                        </w:numPr>
                        <w:spacing w:after="60" w:line="276" w:lineRule="auto"/>
                        <w:ind w:left="426" w:hanging="284"/>
                        <w:jc w:val="both"/>
                        <w:rPr>
                          <w:rFonts w:ascii="Arial Narrow" w:hAnsi="Arial Narrow" w:cs="Arial"/>
                          <w:sz w:val="26"/>
                          <w:szCs w:val="26"/>
                        </w:rPr>
                      </w:pPr>
                      <w:r w:rsidRPr="00594D35">
                        <w:rPr>
                          <w:rFonts w:ascii="Arial Narrow" w:hAnsi="Arial Narrow" w:cs="Arial"/>
                          <w:sz w:val="26"/>
                          <w:szCs w:val="26"/>
                        </w:rPr>
                        <w:t>Incluir energía recuperada (GWh) en el mes t.</w:t>
                      </w:r>
                    </w:p>
                    <w:p w14:paraId="2154BDEB" w14:textId="77777777" w:rsidR="00B71001" w:rsidRPr="00594D35" w:rsidRDefault="00B71001" w:rsidP="00B55410">
                      <w:pPr>
                        <w:numPr>
                          <w:ilvl w:val="0"/>
                          <w:numId w:val="27"/>
                        </w:numPr>
                        <w:spacing w:after="60" w:line="276" w:lineRule="auto"/>
                        <w:ind w:left="426" w:hanging="284"/>
                        <w:jc w:val="both"/>
                        <w:rPr>
                          <w:rFonts w:ascii="Arial Narrow" w:hAnsi="Arial Narrow" w:cs="Arial"/>
                          <w:sz w:val="26"/>
                          <w:szCs w:val="26"/>
                        </w:rPr>
                      </w:pPr>
                      <w:r w:rsidRPr="00594D35">
                        <w:rPr>
                          <w:rFonts w:ascii="Arial Narrow" w:hAnsi="Arial Narrow" w:cs="Arial"/>
                          <w:sz w:val="26"/>
                          <w:szCs w:val="26"/>
                        </w:rPr>
                        <w:t>Incluir créditos y débitos de energía (GWh) realizadas en el mes t.</w:t>
                      </w:r>
                    </w:p>
                    <w:p w14:paraId="4B06B1E5" w14:textId="77777777" w:rsidR="00B71001" w:rsidRPr="00594D35" w:rsidRDefault="00B71001" w:rsidP="00B55410">
                      <w:pPr>
                        <w:numPr>
                          <w:ilvl w:val="0"/>
                          <w:numId w:val="27"/>
                        </w:numPr>
                        <w:spacing w:after="60" w:line="276" w:lineRule="auto"/>
                        <w:ind w:left="426" w:hanging="284"/>
                        <w:jc w:val="both"/>
                        <w:rPr>
                          <w:rFonts w:ascii="Arial Narrow" w:hAnsi="Arial Narrow" w:cs="Arial"/>
                          <w:sz w:val="26"/>
                          <w:szCs w:val="26"/>
                        </w:rPr>
                      </w:pPr>
                      <w:r w:rsidRPr="00594D35">
                        <w:rPr>
                          <w:rFonts w:ascii="Arial Narrow" w:hAnsi="Arial Narrow" w:cs="Arial"/>
                          <w:sz w:val="26"/>
                          <w:szCs w:val="26"/>
                        </w:rPr>
                        <w:t>EDESUR incluir facturación de energía (GWh) a clientes del Sistema Aislado de Pedernales.</w:t>
                      </w:r>
                    </w:p>
                    <w:p w14:paraId="5AE369A5" w14:textId="77777777" w:rsidR="00B71001" w:rsidRPr="00594D35" w:rsidRDefault="00B71001" w:rsidP="00B55410">
                      <w:pPr>
                        <w:rPr>
                          <w:rFonts w:ascii="Arial Narrow" w:hAnsi="Arial Narrow" w:cs="Arial"/>
                          <w:color w:val="FFFFFF"/>
                          <w:sz w:val="26"/>
                          <w:szCs w:val="26"/>
                        </w:rPr>
                      </w:pPr>
                    </w:p>
                    <w:p w14:paraId="6158B568" w14:textId="77777777" w:rsidR="00B71001" w:rsidRPr="00594D35" w:rsidRDefault="00B71001" w:rsidP="00B55410">
                      <w:pPr>
                        <w:jc w:val="both"/>
                        <w:rPr>
                          <w:rFonts w:ascii="Arial Narrow" w:hAnsi="Arial Narrow"/>
                          <w:sz w:val="26"/>
                          <w:szCs w:val="26"/>
                        </w:rPr>
                      </w:pPr>
                    </w:p>
                    <w:p w14:paraId="23344826" w14:textId="77777777" w:rsidR="00B71001" w:rsidRPr="00594D35" w:rsidRDefault="00B71001" w:rsidP="00B55410">
                      <w:pPr>
                        <w:rPr>
                          <w:rFonts w:ascii="Arial Narrow" w:hAnsi="Arial Narrow"/>
                          <w:sz w:val="26"/>
                          <w:szCs w:val="26"/>
                        </w:rPr>
                      </w:pPr>
                    </w:p>
                  </w:txbxContent>
                </v:textbox>
                <w10:anchorlock/>
              </v:rect>
            </w:pict>
          </mc:Fallback>
        </mc:AlternateContent>
      </w:r>
    </w:p>
    <w:p w14:paraId="07ECD302" w14:textId="77777777" w:rsidR="00B55410" w:rsidRPr="00594D35" w:rsidRDefault="00B63E31" w:rsidP="00B55410">
      <w:pPr>
        <w:spacing w:line="276" w:lineRule="auto"/>
        <w:jc w:val="both"/>
        <w:rPr>
          <w:rFonts w:ascii="Arial Narrow" w:hAnsi="Arial Narrow" w:cs="Arial"/>
          <w:sz w:val="26"/>
          <w:szCs w:val="26"/>
        </w:rPr>
      </w:pPr>
      <m:oMath>
        <m:sSub>
          <m:sSubPr>
            <m:ctrlPr>
              <w:rPr>
                <w:rFonts w:ascii="Cambria Math" w:hAnsi="Cambria Math" w:cs="Arial"/>
                <w:sz w:val="26"/>
                <w:szCs w:val="26"/>
              </w:rPr>
            </m:ctrlPr>
          </m:sSubPr>
          <m:e>
            <m:r>
              <w:rPr>
                <w:rFonts w:ascii="Cambria Math" w:hAnsi="Cambria Math" w:cs="Arial"/>
                <w:sz w:val="26"/>
                <w:szCs w:val="26"/>
              </w:rPr>
              <m:t>C</m:t>
            </m:r>
          </m:e>
          <m:sub>
            <m:r>
              <w:rPr>
                <w:rFonts w:ascii="Cambria Math" w:hAnsi="Cambria Math" w:cs="Arial"/>
                <w:sz w:val="26"/>
                <w:szCs w:val="26"/>
              </w:rPr>
              <m:t>t</m:t>
            </m:r>
          </m:sub>
        </m:sSub>
      </m:oMath>
      <w:r w:rsidR="00B55410" w:rsidRPr="00594D35">
        <w:rPr>
          <w:rFonts w:ascii="Arial Narrow" w:hAnsi="Arial Narrow" w:cs="Arial"/>
          <w:sz w:val="26"/>
          <w:szCs w:val="26"/>
        </w:rPr>
        <w:t>:</w:t>
      </w:r>
      <w:r w:rsidR="00B55410" w:rsidRPr="00594D35">
        <w:rPr>
          <w:rFonts w:ascii="Arial Narrow" w:hAnsi="Arial Narrow" w:cs="Arial"/>
          <w:sz w:val="26"/>
          <w:szCs w:val="26"/>
        </w:rPr>
        <w:tab/>
        <w:t xml:space="preserve">Es la compra total de energía para abastecer a todos los usuarios (Regulados y No Regulados) de las EDE en el mes t, medida en GWh. </w:t>
      </w:r>
    </w:p>
    <w:p w14:paraId="2367A089" w14:textId="77777777" w:rsidR="00B55410" w:rsidRPr="00594D35" w:rsidRDefault="00B55410" w:rsidP="00B55410">
      <w:pPr>
        <w:spacing w:line="276" w:lineRule="auto"/>
        <w:jc w:val="both"/>
        <w:rPr>
          <w:rFonts w:ascii="Arial Narrow" w:hAnsi="Arial Narrow" w:cs="Arial"/>
          <w:sz w:val="26"/>
          <w:szCs w:val="26"/>
        </w:rPr>
      </w:pPr>
      <w:r w:rsidRPr="00594D35">
        <w:rPr>
          <w:rFonts w:ascii="Arial Narrow" w:hAnsi="Arial Narrow" w:cs="Arial"/>
          <w:noProof/>
          <w:sz w:val="26"/>
          <w:szCs w:val="26"/>
          <w:lang w:val="es-DO" w:eastAsia="es-DO"/>
        </w:rPr>
        <mc:AlternateContent>
          <mc:Choice Requires="wps">
            <w:drawing>
              <wp:inline distT="0" distB="0" distL="0" distR="0" wp14:anchorId="4ECEDC4F" wp14:editId="70E6AD78">
                <wp:extent cx="5327650" cy="1276350"/>
                <wp:effectExtent l="0" t="0" r="44450" b="57150"/>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0" cy="1276350"/>
                        </a:xfrm>
                        <a:prstGeom prst="rect">
                          <a:avLst/>
                        </a:prstGeom>
                        <a:solidFill>
                          <a:srgbClr val="FFFAEB"/>
                        </a:solidFill>
                        <a:ln w="12700" algn="ctr">
                          <a:solidFill>
                            <a:srgbClr val="000000"/>
                          </a:solidFill>
                          <a:miter lim="800000"/>
                          <a:headEnd/>
                          <a:tailEnd/>
                        </a:ln>
                        <a:effectLst>
                          <a:outerShdw dist="28398" dir="3806097" algn="ctr" rotWithShape="0">
                            <a:srgbClr val="7F7F7F">
                              <a:alpha val="50000"/>
                            </a:srgbClr>
                          </a:outerShdw>
                        </a:effectLst>
                      </wps:spPr>
                      <wps:txbx>
                        <w:txbxContent>
                          <w:p w14:paraId="27C0ACD4" w14:textId="77777777" w:rsidR="00B71001" w:rsidRPr="00594D35" w:rsidRDefault="00B71001" w:rsidP="00B55410">
                            <w:pPr>
                              <w:spacing w:after="60" w:line="276" w:lineRule="auto"/>
                              <w:jc w:val="both"/>
                              <w:rPr>
                                <w:rFonts w:ascii="Arial Narrow" w:hAnsi="Arial Narrow" w:cs="Arial"/>
                                <w:sz w:val="26"/>
                                <w:szCs w:val="26"/>
                              </w:rPr>
                            </w:pPr>
                            <w:r w:rsidRPr="00594D35">
                              <w:rPr>
                                <w:rFonts w:ascii="Arial Narrow" w:hAnsi="Arial Narrow" w:cs="Arial"/>
                                <w:sz w:val="26"/>
                                <w:szCs w:val="26"/>
                              </w:rPr>
                              <w:t>Notas:</w:t>
                            </w:r>
                          </w:p>
                          <w:p w14:paraId="25B2FE62" w14:textId="77777777" w:rsidR="00B71001" w:rsidRPr="00594D35" w:rsidRDefault="00B71001" w:rsidP="00B55410">
                            <w:pPr>
                              <w:numPr>
                                <w:ilvl w:val="0"/>
                                <w:numId w:val="28"/>
                              </w:numPr>
                              <w:spacing w:after="60" w:line="276" w:lineRule="auto"/>
                              <w:ind w:left="426" w:hanging="284"/>
                              <w:jc w:val="both"/>
                              <w:rPr>
                                <w:rFonts w:ascii="Arial Narrow" w:hAnsi="Arial Narrow" w:cs="Arial"/>
                                <w:sz w:val="26"/>
                                <w:szCs w:val="26"/>
                              </w:rPr>
                            </w:pPr>
                            <w:r w:rsidRPr="00594D35">
                              <w:rPr>
                                <w:rFonts w:ascii="Arial Narrow" w:hAnsi="Arial Narrow" w:cs="Arial"/>
                                <w:sz w:val="26"/>
                                <w:szCs w:val="26"/>
                              </w:rPr>
                              <w:t>La fuente de información es la Dirección de Fiscalización del Mercado Eléctrico Mayorista, Superintendencia de Electricidad.</w:t>
                            </w:r>
                          </w:p>
                          <w:p w14:paraId="5ED5C65F" w14:textId="77777777" w:rsidR="00B71001" w:rsidRPr="00594D35" w:rsidRDefault="00B71001" w:rsidP="00B55410">
                            <w:pPr>
                              <w:numPr>
                                <w:ilvl w:val="0"/>
                                <w:numId w:val="28"/>
                              </w:numPr>
                              <w:spacing w:after="60" w:line="276" w:lineRule="auto"/>
                              <w:ind w:left="426" w:hanging="284"/>
                              <w:jc w:val="both"/>
                              <w:rPr>
                                <w:rFonts w:ascii="Arial Narrow" w:hAnsi="Arial Narrow" w:cs="Arial"/>
                                <w:sz w:val="26"/>
                                <w:szCs w:val="26"/>
                              </w:rPr>
                            </w:pPr>
                            <w:r w:rsidRPr="00594D35">
                              <w:rPr>
                                <w:rFonts w:ascii="Arial Narrow" w:hAnsi="Arial Narrow" w:cs="Arial"/>
                                <w:sz w:val="26"/>
                                <w:szCs w:val="26"/>
                              </w:rPr>
                              <w:t xml:space="preserve">La EDE complementará dicha información con las compras realizadas a través del Programa de Medición Neta, o cualquier programa que lo sustituya. </w:t>
                            </w:r>
                          </w:p>
                          <w:p w14:paraId="4A28235F" w14:textId="77777777" w:rsidR="00B71001" w:rsidRPr="00594D35" w:rsidRDefault="00B71001" w:rsidP="00B55410">
                            <w:pPr>
                              <w:rPr>
                                <w:rFonts w:ascii="Arial Narrow" w:hAnsi="Arial Narrow" w:cs="Arial"/>
                                <w:color w:val="FFFFFF"/>
                                <w:sz w:val="26"/>
                                <w:szCs w:val="26"/>
                              </w:rPr>
                            </w:pPr>
                          </w:p>
                          <w:p w14:paraId="00E1CCD5" w14:textId="77777777" w:rsidR="00B71001" w:rsidRPr="00594D35" w:rsidRDefault="00B71001" w:rsidP="00B55410">
                            <w:pPr>
                              <w:jc w:val="both"/>
                              <w:rPr>
                                <w:rFonts w:ascii="Arial Narrow" w:hAnsi="Arial Narrow"/>
                                <w:sz w:val="26"/>
                                <w:szCs w:val="26"/>
                              </w:rPr>
                            </w:pPr>
                          </w:p>
                          <w:p w14:paraId="717BA845" w14:textId="77777777" w:rsidR="00B71001" w:rsidRPr="00594D35" w:rsidRDefault="00B71001" w:rsidP="00B55410">
                            <w:pPr>
                              <w:rPr>
                                <w:rFonts w:ascii="Arial Narrow" w:hAnsi="Arial Narrow"/>
                                <w:sz w:val="26"/>
                                <w:szCs w:val="26"/>
                              </w:rPr>
                            </w:pPr>
                          </w:p>
                        </w:txbxContent>
                      </wps:txbx>
                      <wps:bodyPr rot="0" vert="horz" wrap="square" lIns="91440" tIns="45720" rIns="91440" bIns="45720" anchor="ctr" anchorCtr="0" upright="1">
                        <a:noAutofit/>
                      </wps:bodyPr>
                    </wps:wsp>
                  </a:graphicData>
                </a:graphic>
              </wp:inline>
            </w:drawing>
          </mc:Choice>
          <mc:Fallback>
            <w:pict>
              <v:rect w14:anchorId="4ECEDC4F" id="Rectángulo 7" o:spid="_x0000_s1032" style="width:419.5pt;height:1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" fillcolor="#fffaeb" strokeweight="1pt">
                <v:shadow on="t" color="#7f7f7f" opacity=".5" offset="1pt"/>
                <v:textbox>
                  <w:txbxContent>
                    <w:p w14:paraId="27C0ACD4" w14:textId="77777777" w:rsidR="00B71001" w:rsidRPr="00594D35" w:rsidRDefault="00B71001" w:rsidP="00B55410">
                      <w:pPr>
                        <w:spacing w:after="60" w:line="276" w:lineRule="auto"/>
                        <w:jc w:val="both"/>
                        <w:rPr>
                          <w:rFonts w:ascii="Arial Narrow" w:hAnsi="Arial Narrow" w:cs="Arial"/>
                          <w:sz w:val="26"/>
                          <w:szCs w:val="26"/>
                        </w:rPr>
                      </w:pPr>
                      <w:r w:rsidRPr="00594D35">
                        <w:rPr>
                          <w:rFonts w:ascii="Arial Narrow" w:hAnsi="Arial Narrow" w:cs="Arial"/>
                          <w:sz w:val="26"/>
                          <w:szCs w:val="26"/>
                        </w:rPr>
                        <w:t>Notas:</w:t>
                      </w:r>
                    </w:p>
                    <w:p w14:paraId="25B2FE62" w14:textId="77777777" w:rsidR="00B71001" w:rsidRPr="00594D35" w:rsidRDefault="00B71001" w:rsidP="00B55410">
                      <w:pPr>
                        <w:numPr>
                          <w:ilvl w:val="0"/>
                          <w:numId w:val="28"/>
                        </w:numPr>
                        <w:spacing w:after="60" w:line="276" w:lineRule="auto"/>
                        <w:ind w:left="426" w:hanging="284"/>
                        <w:jc w:val="both"/>
                        <w:rPr>
                          <w:rFonts w:ascii="Arial Narrow" w:hAnsi="Arial Narrow" w:cs="Arial"/>
                          <w:sz w:val="26"/>
                          <w:szCs w:val="26"/>
                        </w:rPr>
                      </w:pPr>
                      <w:r w:rsidRPr="00594D35">
                        <w:rPr>
                          <w:rFonts w:ascii="Arial Narrow" w:hAnsi="Arial Narrow" w:cs="Arial"/>
                          <w:sz w:val="26"/>
                          <w:szCs w:val="26"/>
                        </w:rPr>
                        <w:t>La fuente de información es la Dirección de Fiscalización del Mercado Eléctrico Mayorista, Superintendencia de Electricidad.</w:t>
                      </w:r>
                    </w:p>
                    <w:p w14:paraId="5ED5C65F" w14:textId="77777777" w:rsidR="00B71001" w:rsidRPr="00594D35" w:rsidRDefault="00B71001" w:rsidP="00B55410">
                      <w:pPr>
                        <w:numPr>
                          <w:ilvl w:val="0"/>
                          <w:numId w:val="28"/>
                        </w:numPr>
                        <w:spacing w:after="60" w:line="276" w:lineRule="auto"/>
                        <w:ind w:left="426" w:hanging="284"/>
                        <w:jc w:val="both"/>
                        <w:rPr>
                          <w:rFonts w:ascii="Arial Narrow" w:hAnsi="Arial Narrow" w:cs="Arial"/>
                          <w:sz w:val="26"/>
                          <w:szCs w:val="26"/>
                        </w:rPr>
                      </w:pPr>
                      <w:r w:rsidRPr="00594D35">
                        <w:rPr>
                          <w:rFonts w:ascii="Arial Narrow" w:hAnsi="Arial Narrow" w:cs="Arial"/>
                          <w:sz w:val="26"/>
                          <w:szCs w:val="26"/>
                        </w:rPr>
                        <w:t xml:space="preserve">La EDE complementará dicha información con las compras realizadas a través del Programa de Medición Neta, o cualquier programa que lo sustituya. </w:t>
                      </w:r>
                    </w:p>
                    <w:p w14:paraId="4A28235F" w14:textId="77777777" w:rsidR="00B71001" w:rsidRPr="00594D35" w:rsidRDefault="00B71001" w:rsidP="00B55410">
                      <w:pPr>
                        <w:rPr>
                          <w:rFonts w:ascii="Arial Narrow" w:hAnsi="Arial Narrow" w:cs="Arial"/>
                          <w:color w:val="FFFFFF"/>
                          <w:sz w:val="26"/>
                          <w:szCs w:val="26"/>
                        </w:rPr>
                      </w:pPr>
                    </w:p>
                    <w:p w14:paraId="00E1CCD5" w14:textId="77777777" w:rsidR="00B71001" w:rsidRPr="00594D35" w:rsidRDefault="00B71001" w:rsidP="00B55410">
                      <w:pPr>
                        <w:jc w:val="both"/>
                        <w:rPr>
                          <w:rFonts w:ascii="Arial Narrow" w:hAnsi="Arial Narrow"/>
                          <w:sz w:val="26"/>
                          <w:szCs w:val="26"/>
                        </w:rPr>
                      </w:pPr>
                    </w:p>
                    <w:p w14:paraId="717BA845" w14:textId="77777777" w:rsidR="00B71001" w:rsidRPr="00594D35" w:rsidRDefault="00B71001" w:rsidP="00B55410">
                      <w:pPr>
                        <w:rPr>
                          <w:rFonts w:ascii="Arial Narrow" w:hAnsi="Arial Narrow"/>
                          <w:sz w:val="26"/>
                          <w:szCs w:val="26"/>
                        </w:rPr>
                      </w:pPr>
                    </w:p>
                  </w:txbxContent>
                </v:textbox>
                <w10:anchorlock/>
              </v:rect>
            </w:pict>
          </mc:Fallback>
        </mc:AlternateContent>
      </w:r>
    </w:p>
    <w:p w14:paraId="59867312" w14:textId="77777777" w:rsidR="00B55410" w:rsidRPr="00594D35" w:rsidRDefault="00B55410" w:rsidP="00B55410">
      <w:pPr>
        <w:spacing w:line="276" w:lineRule="auto"/>
        <w:jc w:val="both"/>
        <w:rPr>
          <w:rFonts w:ascii="Arial Narrow" w:hAnsi="Arial Narrow" w:cs="Arial"/>
          <w:sz w:val="26"/>
          <w:szCs w:val="26"/>
        </w:rPr>
      </w:pPr>
    </w:p>
    <w:p w14:paraId="095B1FE1" w14:textId="123FB4AC" w:rsidR="00F15901" w:rsidRDefault="00B55410" w:rsidP="005C72D5">
      <w:pPr>
        <w:spacing w:line="276" w:lineRule="auto"/>
        <w:jc w:val="both"/>
        <w:rPr>
          <w:rFonts w:ascii="Arial Narrow" w:hAnsi="Arial Narrow" w:cs="Arial"/>
          <w:sz w:val="26"/>
          <w:szCs w:val="26"/>
        </w:rPr>
      </w:pPr>
      <w:r>
        <w:rPr>
          <w:rFonts w:ascii="Arial Narrow" w:hAnsi="Arial Narrow" w:cs="Arial"/>
          <w:sz w:val="26"/>
          <w:szCs w:val="26"/>
        </w:rPr>
        <w:t>E</w:t>
      </w:r>
      <w:r w:rsidR="00C63245">
        <w:rPr>
          <w:rFonts w:ascii="Arial Narrow" w:hAnsi="Arial Narrow" w:cs="Arial"/>
          <w:sz w:val="26"/>
          <w:szCs w:val="26"/>
        </w:rPr>
        <w:t>l comportamiento</w:t>
      </w:r>
      <w:r>
        <w:rPr>
          <w:rFonts w:ascii="Arial Narrow" w:hAnsi="Arial Narrow" w:cs="Arial"/>
          <w:sz w:val="26"/>
          <w:szCs w:val="26"/>
        </w:rPr>
        <w:t xml:space="preserve"> de las Pérdidas</w:t>
      </w:r>
      <w:r w:rsidR="00C63245">
        <w:rPr>
          <w:rFonts w:ascii="Arial Narrow" w:hAnsi="Arial Narrow" w:cs="Arial"/>
          <w:sz w:val="26"/>
          <w:szCs w:val="26"/>
        </w:rPr>
        <w:t xml:space="preserve"> para el </w:t>
      </w:r>
      <w:r w:rsidR="00B67487">
        <w:rPr>
          <w:rFonts w:ascii="Arial Narrow" w:hAnsi="Arial Narrow" w:cs="Arial"/>
          <w:sz w:val="26"/>
          <w:szCs w:val="26"/>
        </w:rPr>
        <w:t>segundo</w:t>
      </w:r>
      <w:r w:rsidR="00C63245">
        <w:rPr>
          <w:rFonts w:ascii="Arial Narrow" w:hAnsi="Arial Narrow" w:cs="Arial"/>
          <w:sz w:val="26"/>
          <w:szCs w:val="26"/>
        </w:rPr>
        <w:t xml:space="preserve"> </w:t>
      </w:r>
      <w:r w:rsidR="00BF1EC6">
        <w:rPr>
          <w:rFonts w:ascii="Arial Narrow" w:hAnsi="Arial Narrow" w:cs="Arial"/>
          <w:sz w:val="26"/>
          <w:szCs w:val="26"/>
        </w:rPr>
        <w:t>trimestre</w:t>
      </w:r>
      <w:r w:rsidR="00C63245">
        <w:rPr>
          <w:rFonts w:ascii="Arial Narrow" w:hAnsi="Arial Narrow" w:cs="Arial"/>
          <w:sz w:val="26"/>
          <w:szCs w:val="26"/>
        </w:rPr>
        <w:t xml:space="preserve"> del año fue el siguiente:</w:t>
      </w:r>
    </w:p>
    <w:tbl>
      <w:tblPr>
        <w:tblW w:w="10006" w:type="dxa"/>
        <w:tblCellMar>
          <w:left w:w="70" w:type="dxa"/>
          <w:right w:w="70" w:type="dxa"/>
        </w:tblCellMar>
        <w:tblLook w:val="04A0" w:firstRow="1" w:lastRow="0" w:firstColumn="1" w:lastColumn="0" w:noHBand="0" w:noVBand="1"/>
      </w:tblPr>
      <w:tblGrid>
        <w:gridCol w:w="2155"/>
        <w:gridCol w:w="959"/>
        <w:gridCol w:w="959"/>
        <w:gridCol w:w="1451"/>
        <w:gridCol w:w="1593"/>
        <w:gridCol w:w="959"/>
        <w:gridCol w:w="959"/>
        <w:gridCol w:w="971"/>
      </w:tblGrid>
      <w:tr w:rsidR="00B67487" w:rsidRPr="00B67487" w14:paraId="14891C10" w14:textId="77777777" w:rsidTr="00B67487">
        <w:trPr>
          <w:trHeight w:val="271"/>
        </w:trPr>
        <w:tc>
          <w:tcPr>
            <w:tcW w:w="2155" w:type="dxa"/>
            <w:tcBorders>
              <w:top w:val="nil"/>
              <w:left w:val="nil"/>
              <w:bottom w:val="nil"/>
              <w:right w:val="nil"/>
            </w:tcBorders>
            <w:shd w:val="clear" w:color="auto" w:fill="auto"/>
            <w:noWrap/>
            <w:vAlign w:val="bottom"/>
            <w:hideMark/>
          </w:tcPr>
          <w:p w14:paraId="70B9BDB6" w14:textId="77777777" w:rsidR="00B67487" w:rsidRPr="00B67487" w:rsidRDefault="00B67487" w:rsidP="00B67487">
            <w:pPr>
              <w:spacing w:after="0"/>
              <w:jc w:val="left"/>
              <w:rPr>
                <w:rFonts w:ascii="Times New Roman" w:eastAsia="Times New Roman" w:hAnsi="Times New Roman" w:cs="Times New Roman"/>
                <w:sz w:val="24"/>
                <w:szCs w:val="24"/>
                <w:lang w:eastAsia="es-ES"/>
              </w:rPr>
            </w:pPr>
          </w:p>
        </w:tc>
        <w:tc>
          <w:tcPr>
            <w:tcW w:w="7851" w:type="dxa"/>
            <w:gridSpan w:val="7"/>
            <w:tcBorders>
              <w:top w:val="nil"/>
              <w:left w:val="nil"/>
              <w:bottom w:val="nil"/>
              <w:right w:val="nil"/>
            </w:tcBorders>
            <w:shd w:val="clear" w:color="auto" w:fill="auto"/>
            <w:vAlign w:val="bottom"/>
            <w:hideMark/>
          </w:tcPr>
          <w:p w14:paraId="20AFD4F2" w14:textId="20DC073C" w:rsidR="00B67487" w:rsidRPr="00B67487" w:rsidRDefault="003855B0" w:rsidP="003855B0">
            <w:pPr>
              <w:spacing w:after="0"/>
              <w:jc w:val="both"/>
              <w:rPr>
                <w:rFonts w:ascii="Calibri" w:eastAsia="Times New Roman" w:hAnsi="Calibri" w:cs="Calibri"/>
                <w:b/>
                <w:bCs/>
                <w:color w:val="000000"/>
                <w:sz w:val="22"/>
                <w:szCs w:val="22"/>
                <w:lang w:eastAsia="es-ES"/>
              </w:rPr>
            </w:pPr>
            <w:r>
              <w:rPr>
                <w:rFonts w:ascii="Calibri" w:eastAsia="Times New Roman" w:hAnsi="Calibri" w:cs="Calibri"/>
                <w:b/>
                <w:bCs/>
                <w:color w:val="000000"/>
                <w:sz w:val="22"/>
                <w:szCs w:val="22"/>
                <w:lang w:eastAsia="es-ES"/>
              </w:rPr>
              <w:t xml:space="preserve">                                        </w:t>
            </w:r>
            <w:r w:rsidR="00B67487" w:rsidRPr="00B67487">
              <w:rPr>
                <w:rFonts w:ascii="Calibri" w:eastAsia="Times New Roman" w:hAnsi="Calibri" w:cs="Calibri"/>
                <w:b/>
                <w:bCs/>
                <w:color w:val="000000"/>
                <w:sz w:val="22"/>
                <w:szCs w:val="22"/>
                <w:lang w:eastAsia="es-ES"/>
              </w:rPr>
              <w:t>PÉRDIDAS (%)</w:t>
            </w:r>
          </w:p>
        </w:tc>
      </w:tr>
      <w:tr w:rsidR="00B67487" w:rsidRPr="00B67487" w14:paraId="62140299" w14:textId="77777777" w:rsidTr="00B67487">
        <w:trPr>
          <w:trHeight w:val="271"/>
        </w:trPr>
        <w:tc>
          <w:tcPr>
            <w:tcW w:w="2155" w:type="dxa"/>
            <w:tcBorders>
              <w:top w:val="nil"/>
              <w:left w:val="nil"/>
              <w:bottom w:val="nil"/>
              <w:right w:val="nil"/>
            </w:tcBorders>
            <w:shd w:val="clear" w:color="auto" w:fill="auto"/>
            <w:noWrap/>
            <w:vAlign w:val="bottom"/>
            <w:hideMark/>
          </w:tcPr>
          <w:p w14:paraId="6B06449D" w14:textId="77777777" w:rsidR="00B67487" w:rsidRPr="00B67487" w:rsidRDefault="00B67487" w:rsidP="00B67487">
            <w:pPr>
              <w:spacing w:after="0"/>
              <w:rPr>
                <w:rFonts w:ascii="Calibri" w:eastAsia="Times New Roman" w:hAnsi="Calibri" w:cs="Calibri"/>
                <w:b/>
                <w:bCs/>
                <w:color w:val="000000"/>
                <w:sz w:val="22"/>
                <w:szCs w:val="22"/>
                <w:lang w:eastAsia="es-ES"/>
              </w:rPr>
            </w:pPr>
          </w:p>
        </w:tc>
        <w:tc>
          <w:tcPr>
            <w:tcW w:w="959" w:type="dxa"/>
            <w:tcBorders>
              <w:top w:val="nil"/>
              <w:left w:val="nil"/>
              <w:bottom w:val="nil"/>
              <w:right w:val="nil"/>
            </w:tcBorders>
            <w:shd w:val="clear" w:color="auto" w:fill="auto"/>
            <w:noWrap/>
            <w:vAlign w:val="bottom"/>
            <w:hideMark/>
          </w:tcPr>
          <w:p w14:paraId="6A831AB7" w14:textId="77777777" w:rsidR="00B67487" w:rsidRPr="00B67487" w:rsidRDefault="00B67487" w:rsidP="00B67487">
            <w:pPr>
              <w:spacing w:after="0"/>
              <w:jc w:val="left"/>
              <w:rPr>
                <w:rFonts w:ascii="Times New Roman" w:eastAsia="Times New Roman" w:hAnsi="Times New Roman" w:cs="Times New Roman"/>
                <w:sz w:val="20"/>
                <w:szCs w:val="20"/>
                <w:lang w:eastAsia="es-ES"/>
              </w:rPr>
            </w:pPr>
          </w:p>
        </w:tc>
        <w:tc>
          <w:tcPr>
            <w:tcW w:w="959" w:type="dxa"/>
            <w:tcBorders>
              <w:top w:val="nil"/>
              <w:left w:val="nil"/>
              <w:bottom w:val="nil"/>
              <w:right w:val="nil"/>
            </w:tcBorders>
            <w:shd w:val="clear" w:color="auto" w:fill="auto"/>
            <w:noWrap/>
            <w:vAlign w:val="bottom"/>
            <w:hideMark/>
          </w:tcPr>
          <w:p w14:paraId="42A4DD09" w14:textId="77777777" w:rsidR="00B67487" w:rsidRPr="00B67487" w:rsidRDefault="00B67487" w:rsidP="00B67487">
            <w:pPr>
              <w:spacing w:after="0"/>
              <w:jc w:val="left"/>
              <w:rPr>
                <w:rFonts w:ascii="Times New Roman" w:eastAsia="Times New Roman" w:hAnsi="Times New Roman" w:cs="Times New Roman"/>
                <w:sz w:val="20"/>
                <w:szCs w:val="20"/>
                <w:lang w:eastAsia="es-ES"/>
              </w:rPr>
            </w:pPr>
          </w:p>
        </w:tc>
        <w:tc>
          <w:tcPr>
            <w:tcW w:w="1451" w:type="dxa"/>
            <w:tcBorders>
              <w:top w:val="nil"/>
              <w:left w:val="nil"/>
              <w:bottom w:val="nil"/>
              <w:right w:val="nil"/>
            </w:tcBorders>
            <w:shd w:val="clear" w:color="auto" w:fill="auto"/>
            <w:noWrap/>
            <w:vAlign w:val="bottom"/>
            <w:hideMark/>
          </w:tcPr>
          <w:p w14:paraId="49C07417" w14:textId="77777777" w:rsidR="00B67487" w:rsidRPr="00B67487" w:rsidRDefault="00B67487" w:rsidP="00B67487">
            <w:pPr>
              <w:spacing w:after="0"/>
              <w:jc w:val="left"/>
              <w:rPr>
                <w:rFonts w:ascii="Times New Roman" w:eastAsia="Times New Roman" w:hAnsi="Times New Roman" w:cs="Times New Roman"/>
                <w:sz w:val="20"/>
                <w:szCs w:val="20"/>
                <w:lang w:eastAsia="es-ES"/>
              </w:rPr>
            </w:pPr>
          </w:p>
        </w:tc>
        <w:tc>
          <w:tcPr>
            <w:tcW w:w="1593" w:type="dxa"/>
            <w:tcBorders>
              <w:top w:val="nil"/>
              <w:left w:val="nil"/>
              <w:bottom w:val="nil"/>
              <w:right w:val="nil"/>
            </w:tcBorders>
            <w:shd w:val="clear" w:color="auto" w:fill="auto"/>
            <w:noWrap/>
            <w:vAlign w:val="bottom"/>
            <w:hideMark/>
          </w:tcPr>
          <w:p w14:paraId="77327DAE" w14:textId="77777777" w:rsidR="00B67487" w:rsidRPr="00B67487" w:rsidRDefault="00B67487" w:rsidP="00B67487">
            <w:pPr>
              <w:spacing w:after="0"/>
              <w:jc w:val="left"/>
              <w:rPr>
                <w:rFonts w:ascii="Times New Roman" w:eastAsia="Times New Roman" w:hAnsi="Times New Roman" w:cs="Times New Roman"/>
                <w:sz w:val="20"/>
                <w:szCs w:val="20"/>
                <w:lang w:eastAsia="es-ES"/>
              </w:rPr>
            </w:pPr>
          </w:p>
        </w:tc>
        <w:tc>
          <w:tcPr>
            <w:tcW w:w="2887" w:type="dxa"/>
            <w:gridSpan w:val="3"/>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670C688E" w14:textId="77777777" w:rsidR="00B67487" w:rsidRPr="00B67487" w:rsidRDefault="00B67487" w:rsidP="00B67487">
            <w:pPr>
              <w:spacing w:after="0"/>
              <w:rPr>
                <w:rFonts w:ascii="Calibri" w:eastAsia="Times New Roman" w:hAnsi="Calibri" w:cs="Calibri"/>
                <w:b/>
                <w:bCs/>
                <w:color w:val="000000"/>
                <w:sz w:val="22"/>
                <w:szCs w:val="22"/>
                <w:lang w:eastAsia="es-ES"/>
              </w:rPr>
            </w:pPr>
            <w:r w:rsidRPr="00B67487">
              <w:rPr>
                <w:rFonts w:ascii="Calibri" w:eastAsia="Times New Roman" w:hAnsi="Calibri" w:cs="Calibri"/>
                <w:b/>
                <w:bCs/>
                <w:color w:val="000000"/>
                <w:sz w:val="22"/>
                <w:szCs w:val="22"/>
                <w:lang w:eastAsia="es-ES"/>
              </w:rPr>
              <w:t>Logros Abr - Jun 2022</w:t>
            </w:r>
          </w:p>
        </w:tc>
      </w:tr>
      <w:tr w:rsidR="00B67487" w:rsidRPr="00B67487" w14:paraId="535B66A3" w14:textId="77777777" w:rsidTr="00B67487">
        <w:trPr>
          <w:trHeight w:val="790"/>
        </w:trPr>
        <w:tc>
          <w:tcPr>
            <w:tcW w:w="2155" w:type="dxa"/>
            <w:tcBorders>
              <w:top w:val="nil"/>
              <w:left w:val="nil"/>
              <w:bottom w:val="nil"/>
              <w:right w:val="nil"/>
            </w:tcBorders>
            <w:shd w:val="clear" w:color="auto" w:fill="auto"/>
            <w:noWrap/>
            <w:vAlign w:val="bottom"/>
            <w:hideMark/>
          </w:tcPr>
          <w:p w14:paraId="34B4A0D1" w14:textId="77777777" w:rsidR="00B67487" w:rsidRPr="00B67487" w:rsidRDefault="00B67487" w:rsidP="00B67487">
            <w:pPr>
              <w:spacing w:after="0"/>
              <w:rPr>
                <w:rFonts w:ascii="Calibri" w:eastAsia="Times New Roman" w:hAnsi="Calibri" w:cs="Calibri"/>
                <w:b/>
                <w:bCs/>
                <w:color w:val="000000"/>
                <w:sz w:val="22"/>
                <w:szCs w:val="22"/>
                <w:lang w:eastAsia="es-ES"/>
              </w:rPr>
            </w:pPr>
          </w:p>
        </w:tc>
        <w:tc>
          <w:tcPr>
            <w:tcW w:w="959" w:type="dxa"/>
            <w:tcBorders>
              <w:top w:val="single" w:sz="8" w:space="0" w:color="auto"/>
              <w:left w:val="single" w:sz="8" w:space="0" w:color="auto"/>
              <w:bottom w:val="single" w:sz="8" w:space="0" w:color="auto"/>
              <w:right w:val="single" w:sz="4" w:space="0" w:color="auto"/>
            </w:tcBorders>
            <w:shd w:val="clear" w:color="000000" w:fill="C6E0B4"/>
            <w:vAlign w:val="center"/>
            <w:hideMark/>
          </w:tcPr>
          <w:p w14:paraId="108A47B9" w14:textId="77777777" w:rsidR="00B67487" w:rsidRPr="00B67487" w:rsidRDefault="00B67487" w:rsidP="00B67487">
            <w:pPr>
              <w:spacing w:after="0"/>
              <w:rPr>
                <w:rFonts w:ascii="Calibri" w:eastAsia="Times New Roman" w:hAnsi="Calibri" w:cs="Calibri"/>
                <w:b/>
                <w:bCs/>
                <w:color w:val="000000"/>
                <w:sz w:val="22"/>
                <w:szCs w:val="22"/>
                <w:lang w:eastAsia="es-ES"/>
              </w:rPr>
            </w:pPr>
            <w:r w:rsidRPr="00B67487">
              <w:rPr>
                <w:rFonts w:ascii="Calibri" w:eastAsia="Times New Roman" w:hAnsi="Calibri" w:cs="Calibri"/>
                <w:b/>
                <w:bCs/>
                <w:color w:val="000000"/>
                <w:sz w:val="22"/>
                <w:szCs w:val="22"/>
                <w:lang w:eastAsia="es-ES"/>
              </w:rPr>
              <w:t>Base 2020</w:t>
            </w:r>
          </w:p>
        </w:tc>
        <w:tc>
          <w:tcPr>
            <w:tcW w:w="959" w:type="dxa"/>
            <w:tcBorders>
              <w:top w:val="single" w:sz="8" w:space="0" w:color="auto"/>
              <w:left w:val="nil"/>
              <w:bottom w:val="single" w:sz="8" w:space="0" w:color="auto"/>
              <w:right w:val="nil"/>
            </w:tcBorders>
            <w:shd w:val="clear" w:color="000000" w:fill="C6E0B4"/>
            <w:vAlign w:val="center"/>
            <w:hideMark/>
          </w:tcPr>
          <w:p w14:paraId="23EE36DC" w14:textId="77777777" w:rsidR="00B67487" w:rsidRPr="00B67487" w:rsidRDefault="00B67487" w:rsidP="00B67487">
            <w:pPr>
              <w:spacing w:after="0"/>
              <w:rPr>
                <w:rFonts w:ascii="Calibri" w:eastAsia="Times New Roman" w:hAnsi="Calibri" w:cs="Calibri"/>
                <w:b/>
                <w:bCs/>
                <w:color w:val="000000"/>
                <w:sz w:val="22"/>
                <w:szCs w:val="22"/>
                <w:lang w:eastAsia="es-ES"/>
              </w:rPr>
            </w:pPr>
            <w:r w:rsidRPr="00B67487">
              <w:rPr>
                <w:rFonts w:ascii="Calibri" w:eastAsia="Times New Roman" w:hAnsi="Calibri" w:cs="Calibri"/>
                <w:b/>
                <w:bCs/>
                <w:color w:val="000000"/>
                <w:sz w:val="22"/>
                <w:szCs w:val="22"/>
                <w:lang w:eastAsia="es-ES"/>
              </w:rPr>
              <w:t>Meta 2022</w:t>
            </w:r>
          </w:p>
        </w:tc>
        <w:tc>
          <w:tcPr>
            <w:tcW w:w="1451"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546EEA88" w14:textId="77777777" w:rsidR="00B67487" w:rsidRDefault="00B67487" w:rsidP="00B67487">
            <w:pPr>
              <w:spacing w:after="0"/>
              <w:rPr>
                <w:rFonts w:ascii="Calibri" w:eastAsia="Times New Roman" w:hAnsi="Calibri" w:cs="Calibri"/>
                <w:b/>
                <w:bCs/>
                <w:color w:val="000000"/>
                <w:sz w:val="22"/>
                <w:szCs w:val="22"/>
                <w:lang w:eastAsia="es-ES"/>
              </w:rPr>
            </w:pPr>
            <w:r w:rsidRPr="00B67487">
              <w:rPr>
                <w:rFonts w:ascii="Calibri" w:eastAsia="Times New Roman" w:hAnsi="Calibri" w:cs="Calibri"/>
                <w:b/>
                <w:bCs/>
                <w:color w:val="000000"/>
                <w:sz w:val="22"/>
                <w:szCs w:val="22"/>
                <w:lang w:eastAsia="es-ES"/>
              </w:rPr>
              <w:t>Promedio</w:t>
            </w:r>
          </w:p>
          <w:p w14:paraId="04BB67AC" w14:textId="3102D33F" w:rsidR="00B67487" w:rsidRPr="00B67487" w:rsidRDefault="00B67487" w:rsidP="00B67487">
            <w:pPr>
              <w:spacing w:after="0"/>
              <w:rPr>
                <w:rFonts w:ascii="Calibri" w:eastAsia="Times New Roman" w:hAnsi="Calibri" w:cs="Calibri"/>
                <w:b/>
                <w:bCs/>
                <w:color w:val="000000"/>
                <w:sz w:val="22"/>
                <w:szCs w:val="22"/>
                <w:lang w:eastAsia="es-ES"/>
              </w:rPr>
            </w:pPr>
            <w:r w:rsidRPr="00B67487">
              <w:rPr>
                <w:rFonts w:ascii="Calibri" w:eastAsia="Times New Roman" w:hAnsi="Calibri" w:cs="Calibri"/>
                <w:b/>
                <w:bCs/>
                <w:color w:val="000000"/>
                <w:sz w:val="22"/>
                <w:szCs w:val="22"/>
                <w:lang w:eastAsia="es-ES"/>
              </w:rPr>
              <w:t xml:space="preserve"> Abr - Jun 2022</w:t>
            </w:r>
          </w:p>
        </w:tc>
        <w:tc>
          <w:tcPr>
            <w:tcW w:w="1593" w:type="dxa"/>
            <w:tcBorders>
              <w:top w:val="single" w:sz="8" w:space="0" w:color="auto"/>
              <w:left w:val="nil"/>
              <w:bottom w:val="single" w:sz="8" w:space="0" w:color="auto"/>
              <w:right w:val="nil"/>
            </w:tcBorders>
            <w:shd w:val="clear" w:color="000000" w:fill="2F75B5"/>
            <w:vAlign w:val="bottom"/>
            <w:hideMark/>
          </w:tcPr>
          <w:p w14:paraId="2484EB7B" w14:textId="77777777" w:rsidR="00B67487" w:rsidRPr="00B67487" w:rsidRDefault="00B67487" w:rsidP="00B67487">
            <w:pPr>
              <w:spacing w:after="0"/>
              <w:rPr>
                <w:rFonts w:ascii="Calibri" w:eastAsia="Times New Roman" w:hAnsi="Calibri" w:cs="Calibri"/>
                <w:b/>
                <w:bCs/>
                <w:color w:val="000000"/>
                <w:sz w:val="22"/>
                <w:szCs w:val="22"/>
                <w:lang w:eastAsia="es-ES"/>
              </w:rPr>
            </w:pPr>
            <w:r w:rsidRPr="00B67487">
              <w:rPr>
                <w:rFonts w:ascii="Calibri" w:eastAsia="Times New Roman" w:hAnsi="Calibri" w:cs="Calibri"/>
                <w:b/>
                <w:bCs/>
                <w:color w:val="000000"/>
                <w:sz w:val="22"/>
                <w:szCs w:val="22"/>
                <w:lang w:eastAsia="es-ES"/>
              </w:rPr>
              <w:t>Desviación Ejecutado vs. Meta</w:t>
            </w:r>
          </w:p>
        </w:tc>
        <w:tc>
          <w:tcPr>
            <w:tcW w:w="959" w:type="dxa"/>
            <w:tcBorders>
              <w:top w:val="nil"/>
              <w:left w:val="single" w:sz="8" w:space="0" w:color="auto"/>
              <w:bottom w:val="nil"/>
              <w:right w:val="single" w:sz="4" w:space="0" w:color="auto"/>
            </w:tcBorders>
            <w:shd w:val="clear" w:color="000000" w:fill="BDD7EE"/>
            <w:noWrap/>
            <w:vAlign w:val="center"/>
            <w:hideMark/>
          </w:tcPr>
          <w:p w14:paraId="1A4A97CA" w14:textId="77777777" w:rsidR="00B67487" w:rsidRPr="00B67487" w:rsidRDefault="00B67487" w:rsidP="00B67487">
            <w:pPr>
              <w:spacing w:after="0"/>
              <w:rPr>
                <w:rFonts w:ascii="Calibri" w:eastAsia="Times New Roman" w:hAnsi="Calibri" w:cs="Calibri"/>
                <w:b/>
                <w:bCs/>
                <w:color w:val="000000"/>
                <w:sz w:val="22"/>
                <w:szCs w:val="22"/>
                <w:lang w:eastAsia="es-ES"/>
              </w:rPr>
            </w:pPr>
            <w:r w:rsidRPr="00B67487">
              <w:rPr>
                <w:rFonts w:ascii="Calibri" w:eastAsia="Times New Roman" w:hAnsi="Calibri" w:cs="Calibri"/>
                <w:b/>
                <w:bCs/>
                <w:color w:val="000000"/>
                <w:sz w:val="22"/>
                <w:szCs w:val="22"/>
                <w:lang w:eastAsia="es-ES"/>
              </w:rPr>
              <w:t>Abr</w:t>
            </w:r>
          </w:p>
        </w:tc>
        <w:tc>
          <w:tcPr>
            <w:tcW w:w="959" w:type="dxa"/>
            <w:tcBorders>
              <w:top w:val="nil"/>
              <w:left w:val="nil"/>
              <w:bottom w:val="nil"/>
              <w:right w:val="single" w:sz="4" w:space="0" w:color="auto"/>
            </w:tcBorders>
            <w:shd w:val="clear" w:color="000000" w:fill="BDD7EE"/>
            <w:noWrap/>
            <w:vAlign w:val="center"/>
            <w:hideMark/>
          </w:tcPr>
          <w:p w14:paraId="3AADEC83" w14:textId="77777777" w:rsidR="00B67487" w:rsidRPr="00B67487" w:rsidRDefault="00B67487" w:rsidP="00B67487">
            <w:pPr>
              <w:spacing w:after="0"/>
              <w:rPr>
                <w:rFonts w:ascii="Calibri" w:eastAsia="Times New Roman" w:hAnsi="Calibri" w:cs="Calibri"/>
                <w:b/>
                <w:bCs/>
                <w:color w:val="000000"/>
                <w:sz w:val="22"/>
                <w:szCs w:val="22"/>
                <w:lang w:eastAsia="es-ES"/>
              </w:rPr>
            </w:pPr>
            <w:r w:rsidRPr="00B67487">
              <w:rPr>
                <w:rFonts w:ascii="Calibri" w:eastAsia="Times New Roman" w:hAnsi="Calibri" w:cs="Calibri"/>
                <w:b/>
                <w:bCs/>
                <w:color w:val="000000"/>
                <w:sz w:val="22"/>
                <w:szCs w:val="22"/>
                <w:lang w:eastAsia="es-ES"/>
              </w:rPr>
              <w:t>May</w:t>
            </w:r>
          </w:p>
        </w:tc>
        <w:tc>
          <w:tcPr>
            <w:tcW w:w="969" w:type="dxa"/>
            <w:tcBorders>
              <w:top w:val="nil"/>
              <w:left w:val="nil"/>
              <w:bottom w:val="nil"/>
              <w:right w:val="single" w:sz="8" w:space="0" w:color="auto"/>
            </w:tcBorders>
            <w:shd w:val="clear" w:color="000000" w:fill="BDD7EE"/>
            <w:noWrap/>
            <w:vAlign w:val="center"/>
            <w:hideMark/>
          </w:tcPr>
          <w:p w14:paraId="3D57260C" w14:textId="77777777" w:rsidR="00B67487" w:rsidRPr="00B67487" w:rsidRDefault="00B67487" w:rsidP="00B67487">
            <w:pPr>
              <w:spacing w:after="0"/>
              <w:rPr>
                <w:rFonts w:ascii="Calibri" w:eastAsia="Times New Roman" w:hAnsi="Calibri" w:cs="Calibri"/>
                <w:b/>
                <w:bCs/>
                <w:color w:val="000000"/>
                <w:sz w:val="22"/>
                <w:szCs w:val="22"/>
                <w:lang w:eastAsia="es-ES"/>
              </w:rPr>
            </w:pPr>
            <w:r w:rsidRPr="00B67487">
              <w:rPr>
                <w:rFonts w:ascii="Calibri" w:eastAsia="Times New Roman" w:hAnsi="Calibri" w:cs="Calibri"/>
                <w:b/>
                <w:bCs/>
                <w:color w:val="000000"/>
                <w:sz w:val="22"/>
                <w:szCs w:val="22"/>
                <w:lang w:eastAsia="es-ES"/>
              </w:rPr>
              <w:t>Jun</w:t>
            </w:r>
          </w:p>
        </w:tc>
      </w:tr>
      <w:tr w:rsidR="00B67487" w:rsidRPr="00B67487" w14:paraId="53CDC787" w14:textId="77777777" w:rsidTr="00B67487">
        <w:trPr>
          <w:trHeight w:val="271"/>
        </w:trPr>
        <w:tc>
          <w:tcPr>
            <w:tcW w:w="2155" w:type="dxa"/>
            <w:tcBorders>
              <w:top w:val="nil"/>
              <w:left w:val="nil"/>
              <w:bottom w:val="nil"/>
              <w:right w:val="nil"/>
            </w:tcBorders>
            <w:shd w:val="clear" w:color="auto" w:fill="auto"/>
            <w:noWrap/>
            <w:vAlign w:val="bottom"/>
            <w:hideMark/>
          </w:tcPr>
          <w:p w14:paraId="747D519B" w14:textId="77777777" w:rsidR="00B67487" w:rsidRPr="00B67487" w:rsidRDefault="00B67487" w:rsidP="00B67487">
            <w:pPr>
              <w:spacing w:after="0"/>
              <w:jc w:val="left"/>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EDENORTE</w:t>
            </w:r>
          </w:p>
        </w:tc>
        <w:tc>
          <w:tcPr>
            <w:tcW w:w="959" w:type="dxa"/>
            <w:tcBorders>
              <w:top w:val="nil"/>
              <w:left w:val="single" w:sz="8" w:space="0" w:color="auto"/>
              <w:bottom w:val="single" w:sz="4" w:space="0" w:color="auto"/>
              <w:right w:val="single" w:sz="4" w:space="0" w:color="auto"/>
            </w:tcBorders>
            <w:shd w:val="clear" w:color="auto" w:fill="auto"/>
            <w:noWrap/>
            <w:vAlign w:val="bottom"/>
            <w:hideMark/>
          </w:tcPr>
          <w:p w14:paraId="06B091B6"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22,6%</w:t>
            </w:r>
          </w:p>
        </w:tc>
        <w:tc>
          <w:tcPr>
            <w:tcW w:w="959" w:type="dxa"/>
            <w:tcBorders>
              <w:top w:val="nil"/>
              <w:left w:val="nil"/>
              <w:bottom w:val="single" w:sz="4" w:space="0" w:color="auto"/>
              <w:right w:val="nil"/>
            </w:tcBorders>
            <w:shd w:val="clear" w:color="auto" w:fill="auto"/>
            <w:noWrap/>
            <w:vAlign w:val="bottom"/>
            <w:hideMark/>
          </w:tcPr>
          <w:p w14:paraId="3ED2A3E5"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18,5%</w:t>
            </w:r>
          </w:p>
        </w:tc>
        <w:tc>
          <w:tcPr>
            <w:tcW w:w="1451" w:type="dxa"/>
            <w:tcBorders>
              <w:top w:val="nil"/>
              <w:left w:val="single" w:sz="8" w:space="0" w:color="auto"/>
              <w:bottom w:val="single" w:sz="4" w:space="0" w:color="auto"/>
              <w:right w:val="single" w:sz="8" w:space="0" w:color="auto"/>
            </w:tcBorders>
            <w:shd w:val="clear" w:color="auto" w:fill="auto"/>
            <w:noWrap/>
            <w:vAlign w:val="bottom"/>
            <w:hideMark/>
          </w:tcPr>
          <w:p w14:paraId="31E66B8C"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24,3%</w:t>
            </w:r>
          </w:p>
        </w:tc>
        <w:tc>
          <w:tcPr>
            <w:tcW w:w="1593" w:type="dxa"/>
            <w:tcBorders>
              <w:top w:val="nil"/>
              <w:left w:val="nil"/>
              <w:bottom w:val="single" w:sz="4" w:space="0" w:color="auto"/>
              <w:right w:val="nil"/>
            </w:tcBorders>
            <w:shd w:val="clear" w:color="auto" w:fill="auto"/>
            <w:noWrap/>
            <w:vAlign w:val="bottom"/>
            <w:hideMark/>
          </w:tcPr>
          <w:p w14:paraId="6FB8AE27" w14:textId="7F06F99A" w:rsidR="00B67487" w:rsidRPr="00B67487" w:rsidRDefault="00341B87" w:rsidP="00B67487">
            <w:pPr>
              <w:spacing w:after="0"/>
              <w:rPr>
                <w:rFonts w:ascii="Calibri" w:eastAsia="Times New Roman" w:hAnsi="Calibri" w:cs="Calibri"/>
                <w:color w:val="000000"/>
                <w:sz w:val="22"/>
                <w:szCs w:val="22"/>
                <w:lang w:eastAsia="es-ES"/>
              </w:rPr>
            </w:pPr>
            <w:r>
              <w:rPr>
                <w:rFonts w:ascii="Calibri" w:eastAsia="Times New Roman" w:hAnsi="Calibri" w:cs="Calibri"/>
                <w:color w:val="000000"/>
                <w:sz w:val="22"/>
                <w:szCs w:val="22"/>
                <w:lang w:eastAsia="es-ES"/>
              </w:rPr>
              <w:t>-</w:t>
            </w:r>
            <w:r w:rsidR="00B67487" w:rsidRPr="00B67487">
              <w:rPr>
                <w:rFonts w:ascii="Calibri" w:eastAsia="Times New Roman" w:hAnsi="Calibri" w:cs="Calibri"/>
                <w:color w:val="000000"/>
                <w:sz w:val="22"/>
                <w:szCs w:val="22"/>
                <w:lang w:eastAsia="es-ES"/>
              </w:rPr>
              <w:t>5,8%</w:t>
            </w:r>
          </w:p>
        </w:tc>
        <w:tc>
          <w:tcPr>
            <w:tcW w:w="9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AFDF546"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22,1%</w:t>
            </w:r>
          </w:p>
        </w:tc>
        <w:tc>
          <w:tcPr>
            <w:tcW w:w="959" w:type="dxa"/>
            <w:tcBorders>
              <w:top w:val="single" w:sz="8" w:space="0" w:color="auto"/>
              <w:left w:val="nil"/>
              <w:bottom w:val="single" w:sz="4" w:space="0" w:color="auto"/>
              <w:right w:val="single" w:sz="4" w:space="0" w:color="auto"/>
            </w:tcBorders>
            <w:shd w:val="clear" w:color="auto" w:fill="auto"/>
            <w:noWrap/>
            <w:vAlign w:val="bottom"/>
            <w:hideMark/>
          </w:tcPr>
          <w:p w14:paraId="1BB72F83"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26,9%</w:t>
            </w:r>
          </w:p>
        </w:tc>
        <w:tc>
          <w:tcPr>
            <w:tcW w:w="969" w:type="dxa"/>
            <w:tcBorders>
              <w:top w:val="single" w:sz="8" w:space="0" w:color="auto"/>
              <w:left w:val="nil"/>
              <w:bottom w:val="single" w:sz="4" w:space="0" w:color="auto"/>
              <w:right w:val="single" w:sz="8" w:space="0" w:color="auto"/>
            </w:tcBorders>
            <w:shd w:val="clear" w:color="auto" w:fill="auto"/>
            <w:noWrap/>
            <w:vAlign w:val="bottom"/>
            <w:hideMark/>
          </w:tcPr>
          <w:p w14:paraId="5DA66717"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23,9%</w:t>
            </w:r>
          </w:p>
        </w:tc>
      </w:tr>
      <w:tr w:rsidR="00B67487" w:rsidRPr="00B67487" w14:paraId="2E2897BB" w14:textId="77777777" w:rsidTr="00B67487">
        <w:trPr>
          <w:trHeight w:val="271"/>
        </w:trPr>
        <w:tc>
          <w:tcPr>
            <w:tcW w:w="2155" w:type="dxa"/>
            <w:tcBorders>
              <w:top w:val="nil"/>
              <w:left w:val="nil"/>
              <w:bottom w:val="nil"/>
              <w:right w:val="nil"/>
            </w:tcBorders>
            <w:shd w:val="clear" w:color="auto" w:fill="auto"/>
            <w:noWrap/>
            <w:vAlign w:val="bottom"/>
            <w:hideMark/>
          </w:tcPr>
          <w:p w14:paraId="186C6EA5" w14:textId="77777777" w:rsidR="00B67487" w:rsidRPr="00B67487" w:rsidRDefault="00B67487" w:rsidP="00B67487">
            <w:pPr>
              <w:spacing w:after="0"/>
              <w:jc w:val="left"/>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EDESUR</w:t>
            </w:r>
          </w:p>
        </w:tc>
        <w:tc>
          <w:tcPr>
            <w:tcW w:w="959" w:type="dxa"/>
            <w:tcBorders>
              <w:top w:val="nil"/>
              <w:left w:val="single" w:sz="8" w:space="0" w:color="auto"/>
              <w:bottom w:val="single" w:sz="4" w:space="0" w:color="auto"/>
              <w:right w:val="single" w:sz="4" w:space="0" w:color="auto"/>
            </w:tcBorders>
            <w:shd w:val="clear" w:color="auto" w:fill="auto"/>
            <w:noWrap/>
            <w:vAlign w:val="bottom"/>
            <w:hideMark/>
          </w:tcPr>
          <w:p w14:paraId="12DD794D"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25,1%</w:t>
            </w:r>
          </w:p>
        </w:tc>
        <w:tc>
          <w:tcPr>
            <w:tcW w:w="959" w:type="dxa"/>
            <w:tcBorders>
              <w:top w:val="nil"/>
              <w:left w:val="nil"/>
              <w:bottom w:val="single" w:sz="4" w:space="0" w:color="auto"/>
              <w:right w:val="nil"/>
            </w:tcBorders>
            <w:shd w:val="clear" w:color="auto" w:fill="auto"/>
            <w:noWrap/>
            <w:vAlign w:val="bottom"/>
            <w:hideMark/>
          </w:tcPr>
          <w:p w14:paraId="55832BC7"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19,4%</w:t>
            </w:r>
          </w:p>
        </w:tc>
        <w:tc>
          <w:tcPr>
            <w:tcW w:w="14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43362F6"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25,4%</w:t>
            </w:r>
          </w:p>
        </w:tc>
        <w:tc>
          <w:tcPr>
            <w:tcW w:w="1593" w:type="dxa"/>
            <w:tcBorders>
              <w:top w:val="nil"/>
              <w:left w:val="nil"/>
              <w:bottom w:val="single" w:sz="4" w:space="0" w:color="auto"/>
              <w:right w:val="nil"/>
            </w:tcBorders>
            <w:shd w:val="clear" w:color="auto" w:fill="auto"/>
            <w:noWrap/>
            <w:vAlign w:val="bottom"/>
            <w:hideMark/>
          </w:tcPr>
          <w:p w14:paraId="62683FE5" w14:textId="49A29656" w:rsidR="00B67487" w:rsidRPr="00B67487" w:rsidRDefault="00341B87" w:rsidP="00B67487">
            <w:pPr>
              <w:spacing w:after="0"/>
              <w:rPr>
                <w:rFonts w:ascii="Calibri" w:eastAsia="Times New Roman" w:hAnsi="Calibri" w:cs="Calibri"/>
                <w:color w:val="000000"/>
                <w:sz w:val="22"/>
                <w:szCs w:val="22"/>
                <w:lang w:eastAsia="es-ES"/>
              </w:rPr>
            </w:pPr>
            <w:r>
              <w:rPr>
                <w:rFonts w:ascii="Calibri" w:eastAsia="Times New Roman" w:hAnsi="Calibri" w:cs="Calibri"/>
                <w:color w:val="000000"/>
                <w:sz w:val="22"/>
                <w:szCs w:val="22"/>
                <w:lang w:eastAsia="es-ES"/>
              </w:rPr>
              <w:t>-</w:t>
            </w:r>
            <w:r w:rsidR="00B67487" w:rsidRPr="00B67487">
              <w:rPr>
                <w:rFonts w:ascii="Calibri" w:eastAsia="Times New Roman" w:hAnsi="Calibri" w:cs="Calibri"/>
                <w:color w:val="000000"/>
                <w:sz w:val="22"/>
                <w:szCs w:val="22"/>
                <w:lang w:eastAsia="es-ES"/>
              </w:rPr>
              <w:t>6,0%</w:t>
            </w:r>
          </w:p>
        </w:tc>
        <w:tc>
          <w:tcPr>
            <w:tcW w:w="959" w:type="dxa"/>
            <w:tcBorders>
              <w:top w:val="nil"/>
              <w:left w:val="single" w:sz="8" w:space="0" w:color="auto"/>
              <w:bottom w:val="single" w:sz="4" w:space="0" w:color="auto"/>
              <w:right w:val="single" w:sz="4" w:space="0" w:color="auto"/>
            </w:tcBorders>
            <w:shd w:val="clear" w:color="auto" w:fill="auto"/>
            <w:noWrap/>
            <w:vAlign w:val="bottom"/>
            <w:hideMark/>
          </w:tcPr>
          <w:p w14:paraId="54682DCD"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18,3%</w:t>
            </w:r>
          </w:p>
        </w:tc>
        <w:tc>
          <w:tcPr>
            <w:tcW w:w="959" w:type="dxa"/>
            <w:tcBorders>
              <w:top w:val="nil"/>
              <w:left w:val="nil"/>
              <w:bottom w:val="single" w:sz="4" w:space="0" w:color="auto"/>
              <w:right w:val="single" w:sz="4" w:space="0" w:color="auto"/>
            </w:tcBorders>
            <w:shd w:val="clear" w:color="auto" w:fill="auto"/>
            <w:noWrap/>
            <w:vAlign w:val="bottom"/>
            <w:hideMark/>
          </w:tcPr>
          <w:p w14:paraId="3BB1E3BF"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30,1%</w:t>
            </w:r>
          </w:p>
        </w:tc>
        <w:tc>
          <w:tcPr>
            <w:tcW w:w="969" w:type="dxa"/>
            <w:tcBorders>
              <w:top w:val="nil"/>
              <w:left w:val="nil"/>
              <w:bottom w:val="single" w:sz="4" w:space="0" w:color="auto"/>
              <w:right w:val="single" w:sz="8" w:space="0" w:color="auto"/>
            </w:tcBorders>
            <w:shd w:val="clear" w:color="auto" w:fill="auto"/>
            <w:noWrap/>
            <w:vAlign w:val="bottom"/>
            <w:hideMark/>
          </w:tcPr>
          <w:p w14:paraId="327ADACC"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27,7%</w:t>
            </w:r>
          </w:p>
        </w:tc>
      </w:tr>
      <w:tr w:rsidR="00B67487" w:rsidRPr="00B67487" w14:paraId="2BF0E6BA" w14:textId="77777777" w:rsidTr="00B67487">
        <w:trPr>
          <w:trHeight w:val="271"/>
        </w:trPr>
        <w:tc>
          <w:tcPr>
            <w:tcW w:w="2155" w:type="dxa"/>
            <w:tcBorders>
              <w:top w:val="nil"/>
              <w:left w:val="nil"/>
              <w:bottom w:val="nil"/>
              <w:right w:val="nil"/>
            </w:tcBorders>
            <w:shd w:val="clear" w:color="auto" w:fill="auto"/>
            <w:noWrap/>
            <w:vAlign w:val="bottom"/>
            <w:hideMark/>
          </w:tcPr>
          <w:p w14:paraId="6651AFAE" w14:textId="77777777" w:rsidR="00B67487" w:rsidRPr="00B67487" w:rsidRDefault="00B67487" w:rsidP="00B67487">
            <w:pPr>
              <w:spacing w:after="0"/>
              <w:jc w:val="left"/>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EDEESTE</w:t>
            </w:r>
          </w:p>
        </w:tc>
        <w:tc>
          <w:tcPr>
            <w:tcW w:w="959" w:type="dxa"/>
            <w:tcBorders>
              <w:top w:val="nil"/>
              <w:left w:val="single" w:sz="8" w:space="0" w:color="auto"/>
              <w:bottom w:val="single" w:sz="8" w:space="0" w:color="auto"/>
              <w:right w:val="single" w:sz="4" w:space="0" w:color="auto"/>
            </w:tcBorders>
            <w:shd w:val="clear" w:color="auto" w:fill="auto"/>
            <w:noWrap/>
            <w:vAlign w:val="bottom"/>
            <w:hideMark/>
          </w:tcPr>
          <w:p w14:paraId="66CDA2BD"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50,1%</w:t>
            </w:r>
          </w:p>
        </w:tc>
        <w:tc>
          <w:tcPr>
            <w:tcW w:w="959" w:type="dxa"/>
            <w:tcBorders>
              <w:top w:val="nil"/>
              <w:left w:val="nil"/>
              <w:bottom w:val="single" w:sz="8" w:space="0" w:color="auto"/>
              <w:right w:val="nil"/>
            </w:tcBorders>
            <w:shd w:val="clear" w:color="auto" w:fill="auto"/>
            <w:noWrap/>
            <w:vAlign w:val="bottom"/>
            <w:hideMark/>
          </w:tcPr>
          <w:p w14:paraId="79E92883"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32,3%</w:t>
            </w:r>
          </w:p>
        </w:tc>
        <w:tc>
          <w:tcPr>
            <w:tcW w:w="14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0C43376"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43,2%</w:t>
            </w:r>
          </w:p>
        </w:tc>
        <w:tc>
          <w:tcPr>
            <w:tcW w:w="1593" w:type="dxa"/>
            <w:tcBorders>
              <w:top w:val="nil"/>
              <w:left w:val="nil"/>
              <w:bottom w:val="single" w:sz="8" w:space="0" w:color="auto"/>
              <w:right w:val="nil"/>
            </w:tcBorders>
            <w:shd w:val="clear" w:color="auto" w:fill="auto"/>
            <w:noWrap/>
            <w:vAlign w:val="bottom"/>
            <w:hideMark/>
          </w:tcPr>
          <w:p w14:paraId="01F6F1BD" w14:textId="468F2712" w:rsidR="00B67487" w:rsidRPr="00B67487" w:rsidRDefault="00341B87" w:rsidP="00B67487">
            <w:pPr>
              <w:spacing w:after="0"/>
              <w:rPr>
                <w:rFonts w:ascii="Calibri" w:eastAsia="Times New Roman" w:hAnsi="Calibri" w:cs="Calibri"/>
                <w:color w:val="000000"/>
                <w:sz w:val="22"/>
                <w:szCs w:val="22"/>
                <w:lang w:eastAsia="es-ES"/>
              </w:rPr>
            </w:pPr>
            <w:r>
              <w:rPr>
                <w:rFonts w:ascii="Calibri" w:eastAsia="Times New Roman" w:hAnsi="Calibri" w:cs="Calibri"/>
                <w:color w:val="000000"/>
                <w:sz w:val="22"/>
                <w:szCs w:val="22"/>
                <w:lang w:eastAsia="es-ES"/>
              </w:rPr>
              <w:t xml:space="preserve">- </w:t>
            </w:r>
            <w:r w:rsidR="00B67487" w:rsidRPr="00B67487">
              <w:rPr>
                <w:rFonts w:ascii="Calibri" w:eastAsia="Times New Roman" w:hAnsi="Calibri" w:cs="Calibri"/>
                <w:color w:val="000000"/>
                <w:sz w:val="22"/>
                <w:szCs w:val="22"/>
                <w:lang w:eastAsia="es-ES"/>
              </w:rPr>
              <w:t>10,9%</w:t>
            </w:r>
          </w:p>
        </w:tc>
        <w:tc>
          <w:tcPr>
            <w:tcW w:w="959" w:type="dxa"/>
            <w:tcBorders>
              <w:top w:val="nil"/>
              <w:left w:val="single" w:sz="8" w:space="0" w:color="auto"/>
              <w:bottom w:val="nil"/>
              <w:right w:val="single" w:sz="4" w:space="0" w:color="auto"/>
            </w:tcBorders>
            <w:shd w:val="clear" w:color="auto" w:fill="auto"/>
            <w:noWrap/>
            <w:vAlign w:val="bottom"/>
            <w:hideMark/>
          </w:tcPr>
          <w:p w14:paraId="79A49827"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38,8%</w:t>
            </w:r>
          </w:p>
        </w:tc>
        <w:tc>
          <w:tcPr>
            <w:tcW w:w="959" w:type="dxa"/>
            <w:tcBorders>
              <w:top w:val="nil"/>
              <w:left w:val="nil"/>
              <w:bottom w:val="nil"/>
              <w:right w:val="single" w:sz="4" w:space="0" w:color="auto"/>
            </w:tcBorders>
            <w:shd w:val="clear" w:color="auto" w:fill="auto"/>
            <w:noWrap/>
            <w:vAlign w:val="bottom"/>
            <w:hideMark/>
          </w:tcPr>
          <w:p w14:paraId="3A6E1A39"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46,0%</w:t>
            </w:r>
          </w:p>
        </w:tc>
        <w:tc>
          <w:tcPr>
            <w:tcW w:w="969" w:type="dxa"/>
            <w:tcBorders>
              <w:top w:val="nil"/>
              <w:left w:val="nil"/>
              <w:bottom w:val="nil"/>
              <w:right w:val="single" w:sz="8" w:space="0" w:color="auto"/>
            </w:tcBorders>
            <w:shd w:val="clear" w:color="auto" w:fill="auto"/>
            <w:noWrap/>
            <w:vAlign w:val="bottom"/>
            <w:hideMark/>
          </w:tcPr>
          <w:p w14:paraId="2CF0C637"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44,8%</w:t>
            </w:r>
          </w:p>
        </w:tc>
      </w:tr>
      <w:tr w:rsidR="00B67487" w:rsidRPr="00B67487" w14:paraId="33250FB8" w14:textId="77777777" w:rsidTr="00B67487">
        <w:trPr>
          <w:trHeight w:val="271"/>
        </w:trPr>
        <w:tc>
          <w:tcPr>
            <w:tcW w:w="2155" w:type="dxa"/>
            <w:tcBorders>
              <w:top w:val="nil"/>
              <w:left w:val="nil"/>
              <w:bottom w:val="nil"/>
              <w:right w:val="nil"/>
            </w:tcBorders>
            <w:shd w:val="clear" w:color="auto" w:fill="auto"/>
            <w:noWrap/>
            <w:vAlign w:val="bottom"/>
            <w:hideMark/>
          </w:tcPr>
          <w:p w14:paraId="53D030A1" w14:textId="77777777" w:rsidR="00B67487" w:rsidRPr="00B67487" w:rsidRDefault="00B67487" w:rsidP="00B67487">
            <w:pPr>
              <w:spacing w:after="0"/>
              <w:jc w:val="left"/>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Promedio</w:t>
            </w:r>
          </w:p>
        </w:tc>
        <w:tc>
          <w:tcPr>
            <w:tcW w:w="959" w:type="dxa"/>
            <w:tcBorders>
              <w:top w:val="nil"/>
              <w:left w:val="single" w:sz="8" w:space="0" w:color="auto"/>
              <w:bottom w:val="single" w:sz="8" w:space="0" w:color="auto"/>
              <w:right w:val="single" w:sz="4" w:space="0" w:color="auto"/>
            </w:tcBorders>
            <w:shd w:val="clear" w:color="auto" w:fill="auto"/>
            <w:noWrap/>
            <w:vAlign w:val="bottom"/>
            <w:hideMark/>
          </w:tcPr>
          <w:p w14:paraId="74E68021"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33,1%</w:t>
            </w:r>
          </w:p>
        </w:tc>
        <w:tc>
          <w:tcPr>
            <w:tcW w:w="959" w:type="dxa"/>
            <w:tcBorders>
              <w:top w:val="nil"/>
              <w:left w:val="nil"/>
              <w:bottom w:val="single" w:sz="8" w:space="0" w:color="auto"/>
              <w:right w:val="nil"/>
            </w:tcBorders>
            <w:shd w:val="clear" w:color="auto" w:fill="auto"/>
            <w:noWrap/>
            <w:vAlign w:val="bottom"/>
            <w:hideMark/>
          </w:tcPr>
          <w:p w14:paraId="49CE648E"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23,4%</w:t>
            </w:r>
          </w:p>
        </w:tc>
        <w:tc>
          <w:tcPr>
            <w:tcW w:w="14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DF46B17"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31,0%</w:t>
            </w:r>
          </w:p>
        </w:tc>
        <w:tc>
          <w:tcPr>
            <w:tcW w:w="1593" w:type="dxa"/>
            <w:tcBorders>
              <w:top w:val="nil"/>
              <w:left w:val="nil"/>
              <w:bottom w:val="single" w:sz="8" w:space="0" w:color="auto"/>
              <w:right w:val="nil"/>
            </w:tcBorders>
            <w:shd w:val="clear" w:color="auto" w:fill="auto"/>
            <w:noWrap/>
            <w:vAlign w:val="bottom"/>
            <w:hideMark/>
          </w:tcPr>
          <w:p w14:paraId="74BCFA1D" w14:textId="0778F657" w:rsidR="00B67487" w:rsidRPr="00B67487" w:rsidRDefault="00341B87" w:rsidP="00B67487">
            <w:pPr>
              <w:spacing w:after="0"/>
              <w:rPr>
                <w:rFonts w:ascii="Calibri" w:eastAsia="Times New Roman" w:hAnsi="Calibri" w:cs="Calibri"/>
                <w:color w:val="000000"/>
                <w:sz w:val="22"/>
                <w:szCs w:val="22"/>
                <w:lang w:eastAsia="es-ES"/>
              </w:rPr>
            </w:pPr>
            <w:r>
              <w:rPr>
                <w:rFonts w:ascii="Calibri" w:eastAsia="Times New Roman" w:hAnsi="Calibri" w:cs="Calibri"/>
                <w:color w:val="000000"/>
                <w:sz w:val="22"/>
                <w:szCs w:val="22"/>
                <w:lang w:eastAsia="es-ES"/>
              </w:rPr>
              <w:t>-</w:t>
            </w:r>
            <w:r w:rsidR="00B67487" w:rsidRPr="00B67487">
              <w:rPr>
                <w:rFonts w:ascii="Calibri" w:eastAsia="Times New Roman" w:hAnsi="Calibri" w:cs="Calibri"/>
                <w:color w:val="000000"/>
                <w:sz w:val="22"/>
                <w:szCs w:val="22"/>
                <w:lang w:eastAsia="es-ES"/>
              </w:rPr>
              <w:t>7,6%</w:t>
            </w:r>
          </w:p>
        </w:tc>
        <w:tc>
          <w:tcPr>
            <w:tcW w:w="9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0D4238C"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26,4%</w:t>
            </w:r>
          </w:p>
        </w:tc>
        <w:tc>
          <w:tcPr>
            <w:tcW w:w="9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56472D3"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34,4%</w:t>
            </w:r>
          </w:p>
        </w:tc>
        <w:tc>
          <w:tcPr>
            <w:tcW w:w="9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995CEA2" w14:textId="77777777" w:rsidR="00B67487" w:rsidRPr="00B67487" w:rsidRDefault="00B67487" w:rsidP="00B67487">
            <w:pPr>
              <w:spacing w:after="0"/>
              <w:rPr>
                <w:rFonts w:ascii="Calibri" w:eastAsia="Times New Roman" w:hAnsi="Calibri" w:cs="Calibri"/>
                <w:color w:val="000000"/>
                <w:sz w:val="22"/>
                <w:szCs w:val="22"/>
                <w:lang w:eastAsia="es-ES"/>
              </w:rPr>
            </w:pPr>
            <w:r w:rsidRPr="00B67487">
              <w:rPr>
                <w:rFonts w:ascii="Calibri" w:eastAsia="Times New Roman" w:hAnsi="Calibri" w:cs="Calibri"/>
                <w:color w:val="000000"/>
                <w:sz w:val="22"/>
                <w:szCs w:val="22"/>
                <w:lang w:eastAsia="es-ES"/>
              </w:rPr>
              <w:t>32,1%</w:t>
            </w:r>
          </w:p>
        </w:tc>
      </w:tr>
    </w:tbl>
    <w:p w14:paraId="7DD70E9D" w14:textId="77777777" w:rsidR="00B55410" w:rsidRPr="008B564D" w:rsidRDefault="00B55410" w:rsidP="005C72D5">
      <w:pPr>
        <w:spacing w:line="276" w:lineRule="auto"/>
        <w:jc w:val="both"/>
        <w:rPr>
          <w:rFonts w:ascii="Arial Narrow" w:hAnsi="Arial Narrow" w:cs="Arial"/>
          <w:sz w:val="26"/>
          <w:szCs w:val="26"/>
        </w:rPr>
      </w:pPr>
    </w:p>
    <w:p w14:paraId="66AB695D" w14:textId="13A3CDFF" w:rsidR="00B55410" w:rsidRDefault="00B55410" w:rsidP="00B55410">
      <w:pPr>
        <w:jc w:val="both"/>
        <w:rPr>
          <w:rFonts w:ascii="Arial Narrow" w:hAnsi="Arial Narrow" w:cs="Arial"/>
          <w:sz w:val="26"/>
          <w:szCs w:val="26"/>
        </w:rPr>
      </w:pPr>
      <w:r>
        <w:rPr>
          <w:rFonts w:ascii="Arial Narrow" w:hAnsi="Arial Narrow" w:cs="Arial"/>
          <w:sz w:val="26"/>
          <w:szCs w:val="26"/>
        </w:rPr>
        <w:t xml:space="preserve">EDENORTE tiene pérdidas de </w:t>
      </w:r>
      <w:r w:rsidR="00622113">
        <w:rPr>
          <w:rFonts w:ascii="Arial Narrow" w:hAnsi="Arial Narrow" w:cs="Arial"/>
          <w:sz w:val="26"/>
          <w:szCs w:val="26"/>
        </w:rPr>
        <w:t>24</w:t>
      </w:r>
      <w:r>
        <w:rPr>
          <w:rFonts w:ascii="Arial Narrow" w:hAnsi="Arial Narrow" w:cs="Arial"/>
          <w:sz w:val="26"/>
          <w:szCs w:val="26"/>
        </w:rPr>
        <w:t>.</w:t>
      </w:r>
      <w:r w:rsidR="00622113">
        <w:rPr>
          <w:rFonts w:ascii="Arial Narrow" w:hAnsi="Arial Narrow" w:cs="Arial"/>
          <w:sz w:val="26"/>
          <w:szCs w:val="26"/>
        </w:rPr>
        <w:t>3</w:t>
      </w:r>
      <w:r>
        <w:rPr>
          <w:rFonts w:ascii="Arial Narrow" w:hAnsi="Arial Narrow" w:cs="Arial"/>
          <w:sz w:val="26"/>
          <w:szCs w:val="26"/>
        </w:rPr>
        <w:t xml:space="preserve">% </w:t>
      </w:r>
      <w:r w:rsidR="00622113">
        <w:rPr>
          <w:rFonts w:ascii="Arial Narrow" w:hAnsi="Arial Narrow" w:cs="Arial"/>
          <w:sz w:val="26"/>
          <w:szCs w:val="26"/>
        </w:rPr>
        <w:t>en promedio para el segundo trimestre</w:t>
      </w:r>
      <w:r>
        <w:rPr>
          <w:rFonts w:ascii="Arial Narrow" w:hAnsi="Arial Narrow" w:cs="Arial"/>
          <w:sz w:val="26"/>
          <w:szCs w:val="26"/>
        </w:rPr>
        <w:t xml:space="preserve">, siendo su meta anual </w:t>
      </w:r>
      <w:r w:rsidR="00F15901">
        <w:rPr>
          <w:rFonts w:ascii="Arial Narrow" w:hAnsi="Arial Narrow" w:cs="Arial"/>
          <w:sz w:val="26"/>
          <w:szCs w:val="26"/>
        </w:rPr>
        <w:t>18</w:t>
      </w:r>
      <w:r>
        <w:rPr>
          <w:rFonts w:ascii="Arial Narrow" w:hAnsi="Arial Narrow" w:cs="Arial"/>
          <w:sz w:val="26"/>
          <w:szCs w:val="26"/>
        </w:rPr>
        <w:t>.</w:t>
      </w:r>
      <w:r w:rsidR="00F15901">
        <w:rPr>
          <w:rFonts w:ascii="Arial Narrow" w:hAnsi="Arial Narrow" w:cs="Arial"/>
          <w:sz w:val="26"/>
          <w:szCs w:val="26"/>
        </w:rPr>
        <w:t>5</w:t>
      </w:r>
      <w:r>
        <w:rPr>
          <w:rFonts w:ascii="Arial Narrow" w:hAnsi="Arial Narrow" w:cs="Arial"/>
          <w:sz w:val="26"/>
          <w:szCs w:val="26"/>
        </w:rPr>
        <w:t>%. Las pérdidas de EDESUR son de 2</w:t>
      </w:r>
      <w:r w:rsidR="00736EF3">
        <w:rPr>
          <w:rFonts w:ascii="Arial Narrow" w:hAnsi="Arial Narrow" w:cs="Arial"/>
          <w:sz w:val="26"/>
          <w:szCs w:val="26"/>
        </w:rPr>
        <w:t>5</w:t>
      </w:r>
      <w:r>
        <w:rPr>
          <w:rFonts w:ascii="Arial Narrow" w:hAnsi="Arial Narrow" w:cs="Arial"/>
          <w:sz w:val="26"/>
          <w:szCs w:val="26"/>
        </w:rPr>
        <w:t>.</w:t>
      </w:r>
      <w:r w:rsidR="00736EF3">
        <w:rPr>
          <w:rFonts w:ascii="Arial Narrow" w:hAnsi="Arial Narrow" w:cs="Arial"/>
          <w:sz w:val="26"/>
          <w:szCs w:val="26"/>
        </w:rPr>
        <w:t>4</w:t>
      </w:r>
      <w:r>
        <w:rPr>
          <w:rFonts w:ascii="Arial Narrow" w:hAnsi="Arial Narrow" w:cs="Arial"/>
          <w:sz w:val="26"/>
          <w:szCs w:val="26"/>
        </w:rPr>
        <w:t xml:space="preserve">% para el período, mientras que su meta es </w:t>
      </w:r>
      <w:r w:rsidR="00F15901">
        <w:rPr>
          <w:rFonts w:ascii="Arial Narrow" w:hAnsi="Arial Narrow" w:cs="Arial"/>
          <w:sz w:val="26"/>
          <w:szCs w:val="26"/>
        </w:rPr>
        <w:t>19</w:t>
      </w:r>
      <w:r>
        <w:rPr>
          <w:rFonts w:ascii="Arial Narrow" w:hAnsi="Arial Narrow" w:cs="Arial"/>
          <w:sz w:val="26"/>
          <w:szCs w:val="26"/>
        </w:rPr>
        <w:t xml:space="preserve">.4% </w:t>
      </w:r>
      <w:r w:rsidR="00736EF3">
        <w:rPr>
          <w:rFonts w:ascii="Arial Narrow" w:hAnsi="Arial Narrow" w:cs="Arial"/>
          <w:sz w:val="26"/>
          <w:szCs w:val="26"/>
        </w:rPr>
        <w:t>al trimestre</w:t>
      </w:r>
      <w:r>
        <w:rPr>
          <w:rFonts w:ascii="Arial Narrow" w:hAnsi="Arial Narrow" w:cs="Arial"/>
          <w:sz w:val="26"/>
          <w:szCs w:val="26"/>
        </w:rPr>
        <w:t xml:space="preserve">. Y, por último, EDEESTE tiene un nivel de pérdidas de </w:t>
      </w:r>
      <w:r w:rsidR="00736EF3">
        <w:rPr>
          <w:rFonts w:ascii="Arial Narrow" w:hAnsi="Arial Narrow" w:cs="Arial"/>
          <w:sz w:val="26"/>
          <w:szCs w:val="26"/>
        </w:rPr>
        <w:t>43</w:t>
      </w:r>
      <w:r>
        <w:rPr>
          <w:rFonts w:ascii="Arial Narrow" w:hAnsi="Arial Narrow" w:cs="Arial"/>
          <w:sz w:val="26"/>
          <w:szCs w:val="26"/>
        </w:rPr>
        <w:t>.</w:t>
      </w:r>
      <w:r w:rsidR="00736EF3">
        <w:rPr>
          <w:rFonts w:ascii="Arial Narrow" w:hAnsi="Arial Narrow" w:cs="Arial"/>
          <w:sz w:val="26"/>
          <w:szCs w:val="26"/>
        </w:rPr>
        <w:t>2</w:t>
      </w:r>
      <w:r>
        <w:rPr>
          <w:rFonts w:ascii="Arial Narrow" w:hAnsi="Arial Narrow" w:cs="Arial"/>
          <w:sz w:val="26"/>
          <w:szCs w:val="26"/>
        </w:rPr>
        <w:t>%, y su meta es 3</w:t>
      </w:r>
      <w:r w:rsidR="00F15901">
        <w:rPr>
          <w:rFonts w:ascii="Arial Narrow" w:hAnsi="Arial Narrow" w:cs="Arial"/>
          <w:sz w:val="26"/>
          <w:szCs w:val="26"/>
        </w:rPr>
        <w:t>2</w:t>
      </w:r>
      <w:r>
        <w:rPr>
          <w:rFonts w:ascii="Arial Narrow" w:hAnsi="Arial Narrow" w:cs="Arial"/>
          <w:sz w:val="26"/>
          <w:szCs w:val="26"/>
        </w:rPr>
        <w:t xml:space="preserve">.3%. </w:t>
      </w:r>
    </w:p>
    <w:p w14:paraId="246E7962" w14:textId="60DB486D" w:rsidR="00990710" w:rsidRDefault="00990710" w:rsidP="005C72D5">
      <w:pPr>
        <w:jc w:val="both"/>
        <w:rPr>
          <w:rFonts w:ascii="Arial Narrow" w:hAnsi="Arial Narrow" w:cs="Arial"/>
          <w:sz w:val="26"/>
          <w:szCs w:val="26"/>
        </w:rPr>
      </w:pPr>
    </w:p>
    <w:p w14:paraId="657C3787" w14:textId="66FF7606" w:rsidR="00461C5B" w:rsidRDefault="00461C5B" w:rsidP="005C72D5">
      <w:pPr>
        <w:jc w:val="both"/>
        <w:rPr>
          <w:rFonts w:ascii="Arial Narrow" w:hAnsi="Arial Narrow" w:cs="Arial"/>
          <w:sz w:val="26"/>
          <w:szCs w:val="26"/>
        </w:rPr>
      </w:pPr>
    </w:p>
    <w:p w14:paraId="6B176144" w14:textId="4679EF3E" w:rsidR="00461C5B" w:rsidRPr="008B564D" w:rsidRDefault="00461C5B" w:rsidP="00461C5B">
      <w:pPr>
        <w:pStyle w:val="Ttulo1"/>
        <w:numPr>
          <w:ilvl w:val="0"/>
          <w:numId w:val="21"/>
        </w:numPr>
        <w:jc w:val="left"/>
        <w:rPr>
          <w:rFonts w:ascii="Arial Narrow" w:hAnsi="Arial Narrow" w:cs="Arial"/>
          <w:b/>
          <w:sz w:val="26"/>
          <w:szCs w:val="26"/>
        </w:rPr>
      </w:pPr>
      <w:bookmarkStart w:id="16" w:name="_Toc114065694"/>
      <w:r>
        <w:rPr>
          <w:rFonts w:ascii="Arial Narrow" w:hAnsi="Arial Narrow" w:cs="Arial"/>
          <w:b/>
          <w:sz w:val="26"/>
          <w:szCs w:val="26"/>
        </w:rPr>
        <w:t xml:space="preserve">COBRANZAS (%), </w:t>
      </w:r>
      <w:r w:rsidR="00B54ACB">
        <w:rPr>
          <w:rFonts w:ascii="Arial Narrow" w:hAnsi="Arial Narrow" w:cs="Arial"/>
          <w:b/>
          <w:sz w:val="26"/>
          <w:szCs w:val="26"/>
        </w:rPr>
        <w:t>ABRIL –</w:t>
      </w:r>
      <w:r>
        <w:rPr>
          <w:rFonts w:ascii="Arial Narrow" w:hAnsi="Arial Narrow" w:cs="Arial"/>
          <w:b/>
          <w:sz w:val="26"/>
          <w:szCs w:val="26"/>
        </w:rPr>
        <w:t xml:space="preserve"> </w:t>
      </w:r>
      <w:r w:rsidR="00736EF3">
        <w:rPr>
          <w:rFonts w:ascii="Arial Narrow" w:hAnsi="Arial Narrow" w:cs="Arial"/>
          <w:b/>
          <w:sz w:val="26"/>
          <w:szCs w:val="26"/>
        </w:rPr>
        <w:t>JUNIO</w:t>
      </w:r>
      <w:r>
        <w:rPr>
          <w:rFonts w:ascii="Arial Narrow" w:hAnsi="Arial Narrow" w:cs="Arial"/>
          <w:b/>
          <w:sz w:val="26"/>
          <w:szCs w:val="26"/>
        </w:rPr>
        <w:t xml:space="preserve"> 202</w:t>
      </w:r>
      <w:r w:rsidR="00D05FF1">
        <w:rPr>
          <w:rFonts w:ascii="Arial Narrow" w:hAnsi="Arial Narrow" w:cs="Arial"/>
          <w:b/>
          <w:sz w:val="26"/>
          <w:szCs w:val="26"/>
        </w:rPr>
        <w:t>2</w:t>
      </w:r>
      <w:r>
        <w:rPr>
          <w:rFonts w:ascii="Arial Narrow" w:hAnsi="Arial Narrow" w:cs="Arial"/>
          <w:b/>
          <w:sz w:val="26"/>
          <w:szCs w:val="26"/>
        </w:rPr>
        <w:t>.</w:t>
      </w:r>
      <w:bookmarkEnd w:id="16"/>
    </w:p>
    <w:p w14:paraId="7AFB4B23" w14:textId="77777777" w:rsidR="00461C5B" w:rsidRDefault="00461C5B" w:rsidP="00461C5B">
      <w:pPr>
        <w:spacing w:line="276" w:lineRule="auto"/>
        <w:jc w:val="both"/>
        <w:rPr>
          <w:rFonts w:ascii="Arial Narrow" w:hAnsi="Arial Narrow" w:cs="Arial"/>
          <w:sz w:val="26"/>
          <w:szCs w:val="26"/>
        </w:rPr>
      </w:pPr>
    </w:p>
    <w:p w14:paraId="05FAEB3C" w14:textId="77777777" w:rsidR="00B55410" w:rsidRPr="00594D35" w:rsidRDefault="00B55410" w:rsidP="00B55410">
      <w:pPr>
        <w:spacing w:line="276" w:lineRule="auto"/>
        <w:jc w:val="both"/>
        <w:rPr>
          <w:rFonts w:ascii="Arial Narrow" w:hAnsi="Arial Narrow" w:cs="Arial"/>
          <w:sz w:val="26"/>
          <w:szCs w:val="26"/>
        </w:rPr>
      </w:pPr>
      <w:r>
        <w:rPr>
          <w:rFonts w:ascii="Arial Narrow" w:hAnsi="Arial Narrow" w:cs="Arial"/>
          <w:sz w:val="26"/>
          <w:szCs w:val="26"/>
        </w:rPr>
        <w:t xml:space="preserve">La definición de este indicador, establecido formalmente en la resolución SIE-061-2021-MEMI, </w:t>
      </w:r>
      <w:r w:rsidRPr="00594D35">
        <w:rPr>
          <w:rFonts w:ascii="Arial Narrow" w:hAnsi="Arial Narrow" w:cs="Arial"/>
          <w:sz w:val="26"/>
          <w:szCs w:val="26"/>
        </w:rPr>
        <w:t>se detalla a continuación:</w:t>
      </w:r>
    </w:p>
    <w:p w14:paraId="061F1359" w14:textId="77777777" w:rsidR="00B55410" w:rsidRPr="00E01A5F" w:rsidRDefault="00B63E31" w:rsidP="00B55410">
      <w:pPr>
        <w:spacing w:line="276" w:lineRule="auto"/>
        <w:jc w:val="both"/>
        <w:rPr>
          <w:rFonts w:ascii="Arial Narrow" w:hAnsi="Arial Narrow" w:cs="Arial"/>
          <w:sz w:val="26"/>
          <w:szCs w:val="26"/>
        </w:rPr>
      </w:pPr>
      <m:oMathPara>
        <m:oMath>
          <m:sSub>
            <m:sSubPr>
              <m:ctrlPr>
                <w:rPr>
                  <w:rFonts w:ascii="Cambria Math" w:hAnsi="Cambria Math" w:cs="Arial"/>
                  <w:sz w:val="26"/>
                  <w:szCs w:val="26"/>
                </w:rPr>
              </m:ctrlPr>
            </m:sSubPr>
            <m:e>
              <m:r>
                <w:rPr>
                  <w:rFonts w:ascii="Cambria Math" w:hAnsi="Cambria Math" w:cs="Arial"/>
                  <w:sz w:val="26"/>
                  <w:szCs w:val="26"/>
                </w:rPr>
                <m:t>Cob</m:t>
              </m:r>
            </m:e>
            <m:sub>
              <m:r>
                <w:rPr>
                  <w:rFonts w:ascii="Cambria Math" w:hAnsi="Cambria Math" w:cs="Arial"/>
                  <w:sz w:val="26"/>
                  <w:szCs w:val="26"/>
                </w:rPr>
                <m:t>t</m:t>
              </m:r>
            </m:sub>
          </m:sSub>
          <m:r>
            <m:rPr>
              <m:sty m:val="p"/>
            </m:rPr>
            <w:rPr>
              <w:rFonts w:ascii="Cambria Math" w:hAnsi="Cambria Math" w:cs="Arial"/>
              <w:sz w:val="26"/>
              <w:szCs w:val="26"/>
            </w:rPr>
            <m:t xml:space="preserve">= </m:t>
          </m:r>
          <m:d>
            <m:dPr>
              <m:ctrlPr>
                <w:rPr>
                  <w:rFonts w:ascii="Cambria Math" w:hAnsi="Cambria Math" w:cs="Arial"/>
                  <w:sz w:val="26"/>
                  <w:szCs w:val="26"/>
                </w:rPr>
              </m:ctrlPr>
            </m:dPr>
            <m:e>
              <m:f>
                <m:fPr>
                  <m:ctrlPr>
                    <w:rPr>
                      <w:rFonts w:ascii="Cambria Math" w:hAnsi="Cambria Math" w:cs="Arial"/>
                      <w:sz w:val="26"/>
                      <w:szCs w:val="26"/>
                    </w:rPr>
                  </m:ctrlPr>
                </m:fPr>
                <m:num>
                  <m:sSub>
                    <m:sSubPr>
                      <m:ctrlPr>
                        <w:rPr>
                          <w:rFonts w:ascii="Cambria Math" w:hAnsi="Cambria Math" w:cs="Arial"/>
                          <w:sz w:val="26"/>
                          <w:szCs w:val="26"/>
                        </w:rPr>
                      </m:ctrlPr>
                    </m:sSubPr>
                    <m:e>
                      <m:r>
                        <w:rPr>
                          <w:rFonts w:ascii="Cambria Math" w:hAnsi="Cambria Math" w:cs="Arial"/>
                          <w:sz w:val="26"/>
                          <w:szCs w:val="26"/>
                        </w:rPr>
                        <m:t>ECM</m:t>
                      </m:r>
                    </m:e>
                    <m:sub>
                      <m:r>
                        <w:rPr>
                          <w:rFonts w:ascii="Cambria Math" w:hAnsi="Cambria Math" w:cs="Arial"/>
                          <w:sz w:val="26"/>
                          <w:szCs w:val="26"/>
                        </w:rPr>
                        <m:t>t</m:t>
                      </m:r>
                    </m:sub>
                  </m:sSub>
                </m:num>
                <m:den>
                  <m:sSub>
                    <m:sSubPr>
                      <m:ctrlPr>
                        <w:rPr>
                          <w:rFonts w:ascii="Cambria Math" w:hAnsi="Cambria Math" w:cs="Arial"/>
                          <w:sz w:val="26"/>
                          <w:szCs w:val="26"/>
                        </w:rPr>
                      </m:ctrlPr>
                    </m:sSubPr>
                    <m:e>
                      <m:r>
                        <w:rPr>
                          <w:rFonts w:ascii="Cambria Math" w:hAnsi="Cambria Math" w:cs="Arial"/>
                          <w:sz w:val="26"/>
                          <w:szCs w:val="26"/>
                        </w:rPr>
                        <m:t>EFM</m:t>
                      </m:r>
                    </m:e>
                    <m:sub>
                      <m:r>
                        <w:rPr>
                          <w:rFonts w:ascii="Cambria Math" w:hAnsi="Cambria Math" w:cs="Arial"/>
                          <w:sz w:val="26"/>
                          <w:szCs w:val="26"/>
                        </w:rPr>
                        <m:t>t</m:t>
                      </m:r>
                    </m:sub>
                  </m:sSub>
                </m:den>
              </m:f>
            </m:e>
          </m:d>
          <m:r>
            <m:rPr>
              <m:sty m:val="p"/>
            </m:rPr>
            <w:rPr>
              <w:rFonts w:ascii="Cambria Math" w:hAnsi="Cambria Math" w:cs="Arial"/>
              <w:sz w:val="26"/>
              <w:szCs w:val="26"/>
            </w:rPr>
            <m:t>*</m:t>
          </m:r>
          <m:r>
            <m:rPr>
              <m:sty m:val="p"/>
            </m:rPr>
            <w:rPr>
              <w:rFonts w:ascii="Cambria Math" w:hAnsi="Cambria Math" w:cs="Arial"/>
              <w:sz w:val="26"/>
              <w:szCs w:val="26"/>
            </w:rPr>
            <m:t>100</m:t>
          </m:r>
        </m:oMath>
      </m:oMathPara>
    </w:p>
    <w:p w14:paraId="7135F9CC" w14:textId="77777777" w:rsidR="00B55410" w:rsidRPr="00E01A5F" w:rsidRDefault="00B55410" w:rsidP="00B55410">
      <w:pPr>
        <w:spacing w:line="276" w:lineRule="auto"/>
        <w:jc w:val="both"/>
        <w:rPr>
          <w:rFonts w:ascii="Arial Narrow" w:hAnsi="Arial Narrow" w:cs="Arial"/>
          <w:sz w:val="26"/>
          <w:szCs w:val="26"/>
        </w:rPr>
      </w:pPr>
      <w:r w:rsidRPr="00E01A5F">
        <w:rPr>
          <w:rFonts w:ascii="Arial Narrow" w:hAnsi="Arial Narrow" w:cs="Arial"/>
          <w:sz w:val="26"/>
          <w:szCs w:val="26"/>
        </w:rPr>
        <w:t xml:space="preserve">Donde: </w:t>
      </w:r>
    </w:p>
    <w:p w14:paraId="3EBCF75A" w14:textId="77777777" w:rsidR="00B55410" w:rsidRPr="00E01A5F" w:rsidRDefault="00B55410" w:rsidP="00B55410">
      <w:pPr>
        <w:spacing w:line="276" w:lineRule="auto"/>
        <w:jc w:val="both"/>
        <w:rPr>
          <w:rFonts w:ascii="Arial Narrow" w:hAnsi="Arial Narrow" w:cs="Arial"/>
          <w:sz w:val="26"/>
          <w:szCs w:val="26"/>
        </w:rPr>
      </w:pPr>
    </w:p>
    <w:p w14:paraId="726A156E" w14:textId="77777777" w:rsidR="00B55410" w:rsidRPr="00E01A5F" w:rsidRDefault="00B63E31" w:rsidP="00B55410">
      <w:pPr>
        <w:spacing w:line="276" w:lineRule="auto"/>
        <w:jc w:val="both"/>
        <w:rPr>
          <w:rFonts w:ascii="Arial Narrow" w:hAnsi="Arial Narrow" w:cs="Arial"/>
          <w:sz w:val="26"/>
          <w:szCs w:val="26"/>
        </w:rPr>
      </w:pPr>
      <m:oMath>
        <m:sSub>
          <m:sSubPr>
            <m:ctrlPr>
              <w:rPr>
                <w:rFonts w:ascii="Cambria Math" w:hAnsi="Cambria Math" w:cs="Arial"/>
                <w:sz w:val="26"/>
                <w:szCs w:val="26"/>
              </w:rPr>
            </m:ctrlPr>
          </m:sSubPr>
          <m:e>
            <m:r>
              <w:rPr>
                <w:rFonts w:ascii="Cambria Math" w:hAnsi="Cambria Math" w:cs="Arial"/>
                <w:sz w:val="26"/>
                <w:szCs w:val="26"/>
              </w:rPr>
              <m:t>Cob</m:t>
            </m:r>
          </m:e>
          <m:sub>
            <m:r>
              <w:rPr>
                <w:rFonts w:ascii="Cambria Math" w:hAnsi="Cambria Math" w:cs="Arial"/>
                <w:sz w:val="26"/>
                <w:szCs w:val="26"/>
              </w:rPr>
              <m:t>t</m:t>
            </m:r>
          </m:sub>
        </m:sSub>
      </m:oMath>
      <w:r w:rsidR="00B55410" w:rsidRPr="00E01A5F">
        <w:rPr>
          <w:rFonts w:ascii="Arial Narrow" w:hAnsi="Arial Narrow" w:cs="Arial"/>
          <w:sz w:val="26"/>
          <w:szCs w:val="26"/>
        </w:rPr>
        <w:t>:</w:t>
      </w:r>
      <w:r w:rsidR="00B55410" w:rsidRPr="00E01A5F">
        <w:rPr>
          <w:rFonts w:ascii="Arial Narrow" w:hAnsi="Arial Narrow" w:cs="Arial"/>
          <w:sz w:val="26"/>
          <w:szCs w:val="26"/>
        </w:rPr>
        <w:tab/>
        <w:t xml:space="preserve">Se refiere al total de cobranzas por conceptos de cargo fijo, energía, potencia y cualquier otro cargo asociado a la entrega del servicio, en el mes t, medido en porcentaje. </w:t>
      </w:r>
    </w:p>
    <w:p w14:paraId="6AC4FFB7" w14:textId="77777777" w:rsidR="00B55410" w:rsidRPr="00E01A5F" w:rsidRDefault="00B63E31" w:rsidP="00B55410">
      <w:pPr>
        <w:spacing w:line="276" w:lineRule="auto"/>
        <w:jc w:val="both"/>
        <w:rPr>
          <w:rFonts w:ascii="Arial Narrow" w:hAnsi="Arial Narrow" w:cs="Arial"/>
          <w:sz w:val="26"/>
          <w:szCs w:val="26"/>
        </w:rPr>
      </w:pPr>
      <m:oMath>
        <m:sSub>
          <m:sSubPr>
            <m:ctrlPr>
              <w:rPr>
                <w:rFonts w:ascii="Cambria Math" w:hAnsi="Cambria Math" w:cs="Arial"/>
                <w:sz w:val="26"/>
                <w:szCs w:val="26"/>
              </w:rPr>
            </m:ctrlPr>
          </m:sSubPr>
          <m:e>
            <m:r>
              <w:rPr>
                <w:rFonts w:ascii="Cambria Math" w:hAnsi="Cambria Math" w:cs="Arial"/>
                <w:sz w:val="26"/>
                <w:szCs w:val="26"/>
              </w:rPr>
              <m:t>ECM</m:t>
            </m:r>
          </m:e>
          <m:sub>
            <m:r>
              <w:rPr>
                <w:rFonts w:ascii="Cambria Math" w:hAnsi="Cambria Math" w:cs="Arial"/>
                <w:sz w:val="26"/>
                <w:szCs w:val="26"/>
              </w:rPr>
              <m:t>t</m:t>
            </m:r>
          </m:sub>
        </m:sSub>
      </m:oMath>
      <w:r w:rsidR="00B55410" w:rsidRPr="00E01A5F">
        <w:rPr>
          <w:rFonts w:ascii="Arial Narrow" w:hAnsi="Arial Narrow" w:cs="Arial"/>
          <w:sz w:val="26"/>
          <w:szCs w:val="26"/>
        </w:rPr>
        <w:t>:</w:t>
      </w:r>
      <w:r w:rsidR="00B55410" w:rsidRPr="00E01A5F">
        <w:rPr>
          <w:rFonts w:ascii="Arial Narrow" w:hAnsi="Arial Narrow" w:cs="Arial"/>
          <w:sz w:val="26"/>
          <w:szCs w:val="26"/>
        </w:rPr>
        <w:tab/>
        <w:t>Es la sumatoria de cobros totales por conceptos de cargo fijo, energía, potencia y cualquier otro cargo asociado a la entrega del servicio, de los usuarios regulados y no regulados, en el mes t, y medido en MMRD$. Se exceptúan los cobros por fianza y reconexión del servicio.</w:t>
      </w:r>
    </w:p>
    <w:p w14:paraId="2292F8E8" w14:textId="77777777" w:rsidR="00B55410" w:rsidRPr="00E01A5F" w:rsidRDefault="00B55410" w:rsidP="00B55410">
      <w:pPr>
        <w:spacing w:line="276" w:lineRule="auto"/>
        <w:jc w:val="both"/>
        <w:rPr>
          <w:rFonts w:ascii="Arial Narrow" w:hAnsi="Arial Narrow" w:cs="Arial"/>
          <w:sz w:val="26"/>
          <w:szCs w:val="26"/>
        </w:rPr>
      </w:pPr>
      <w:r w:rsidRPr="00E01A5F">
        <w:rPr>
          <w:rFonts w:ascii="Arial Narrow" w:hAnsi="Arial Narrow" w:cs="Arial"/>
          <w:noProof/>
          <w:sz w:val="26"/>
          <w:szCs w:val="26"/>
          <w:lang w:val="es-DO" w:eastAsia="es-DO"/>
        </w:rPr>
        <mc:AlternateContent>
          <mc:Choice Requires="wps">
            <w:drawing>
              <wp:inline distT="0" distB="0" distL="0" distR="0" wp14:anchorId="493374B1" wp14:editId="56108E08">
                <wp:extent cx="5327650" cy="1504950"/>
                <wp:effectExtent l="0" t="0" r="44450" b="57150"/>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0" cy="1504950"/>
                        </a:xfrm>
                        <a:prstGeom prst="rect">
                          <a:avLst/>
                        </a:prstGeom>
                        <a:solidFill>
                          <a:srgbClr val="FFFAEB"/>
                        </a:solidFill>
                        <a:ln w="12700" algn="ctr">
                          <a:solidFill>
                            <a:srgbClr val="000000"/>
                          </a:solidFill>
                          <a:miter lim="800000"/>
                          <a:headEnd/>
                          <a:tailEnd/>
                        </a:ln>
                        <a:effectLst>
                          <a:outerShdw dist="28398" dir="3806097" algn="ctr" rotWithShape="0">
                            <a:srgbClr val="7F7F7F">
                              <a:alpha val="50000"/>
                            </a:srgbClr>
                          </a:outerShdw>
                        </a:effectLst>
                      </wps:spPr>
                      <wps:txbx>
                        <w:txbxContent>
                          <w:p w14:paraId="37076C95" w14:textId="77777777" w:rsidR="00B71001" w:rsidRPr="009F1D80" w:rsidRDefault="00B71001" w:rsidP="00B55410">
                            <w:pPr>
                              <w:jc w:val="left"/>
                              <w:rPr>
                                <w:rFonts w:ascii="Arial Narrow" w:hAnsi="Arial Narrow" w:cs="Arial"/>
                                <w:sz w:val="26"/>
                                <w:szCs w:val="26"/>
                              </w:rPr>
                            </w:pPr>
                            <w:r w:rsidRPr="009F1D80">
                              <w:rPr>
                                <w:rFonts w:ascii="Arial Narrow" w:hAnsi="Arial Narrow" w:cs="Arial"/>
                                <w:sz w:val="26"/>
                                <w:szCs w:val="26"/>
                              </w:rPr>
                              <w:t>Notas:</w:t>
                            </w:r>
                          </w:p>
                          <w:p w14:paraId="32DD543D" w14:textId="77777777" w:rsidR="00B71001" w:rsidRPr="009F1D80" w:rsidRDefault="00B71001" w:rsidP="00B55410">
                            <w:pPr>
                              <w:numPr>
                                <w:ilvl w:val="0"/>
                                <w:numId w:val="23"/>
                              </w:numPr>
                              <w:spacing w:after="0" w:line="276" w:lineRule="auto"/>
                              <w:ind w:left="426" w:hanging="284"/>
                              <w:jc w:val="left"/>
                              <w:rPr>
                                <w:rFonts w:ascii="Arial Narrow" w:hAnsi="Arial Narrow" w:cs="Arial"/>
                                <w:sz w:val="26"/>
                                <w:szCs w:val="26"/>
                              </w:rPr>
                            </w:pPr>
                            <w:r w:rsidRPr="009F1D80">
                              <w:rPr>
                                <w:rFonts w:ascii="Arial Narrow" w:hAnsi="Arial Narrow" w:cs="Arial"/>
                                <w:sz w:val="26"/>
                                <w:szCs w:val="26"/>
                              </w:rPr>
                              <w:t>Incluir cobros por consumo propio EDE, en el mes t.</w:t>
                            </w:r>
                          </w:p>
                          <w:p w14:paraId="6FF58644" w14:textId="77777777" w:rsidR="00B71001" w:rsidRPr="009F1D80" w:rsidRDefault="00B71001" w:rsidP="00B55410">
                            <w:pPr>
                              <w:numPr>
                                <w:ilvl w:val="0"/>
                                <w:numId w:val="23"/>
                              </w:numPr>
                              <w:spacing w:after="0" w:line="276" w:lineRule="auto"/>
                              <w:ind w:left="426" w:hanging="284"/>
                              <w:jc w:val="left"/>
                              <w:rPr>
                                <w:rFonts w:ascii="Arial Narrow" w:hAnsi="Arial Narrow" w:cs="Arial"/>
                                <w:sz w:val="26"/>
                                <w:szCs w:val="26"/>
                              </w:rPr>
                            </w:pPr>
                            <w:r w:rsidRPr="009F1D80">
                              <w:rPr>
                                <w:rFonts w:ascii="Arial Narrow" w:hAnsi="Arial Narrow" w:cs="Arial"/>
                                <w:sz w:val="26"/>
                                <w:szCs w:val="26"/>
                              </w:rPr>
                              <w:t xml:space="preserve">Incluir los cobros a clientes con medidores prepago, en el mes t. </w:t>
                            </w:r>
                          </w:p>
                          <w:p w14:paraId="392CE44D" w14:textId="77777777" w:rsidR="00B71001" w:rsidRPr="009F1D80" w:rsidRDefault="00B71001" w:rsidP="00B55410">
                            <w:pPr>
                              <w:numPr>
                                <w:ilvl w:val="0"/>
                                <w:numId w:val="23"/>
                              </w:numPr>
                              <w:spacing w:after="0" w:line="276" w:lineRule="auto"/>
                              <w:ind w:left="426" w:hanging="284"/>
                              <w:jc w:val="left"/>
                              <w:rPr>
                                <w:rFonts w:ascii="Arial Narrow" w:hAnsi="Arial Narrow" w:cs="Arial"/>
                                <w:sz w:val="26"/>
                                <w:szCs w:val="26"/>
                              </w:rPr>
                            </w:pPr>
                            <w:r w:rsidRPr="009F1D80">
                              <w:rPr>
                                <w:rFonts w:ascii="Arial Narrow" w:hAnsi="Arial Narrow" w:cs="Arial"/>
                                <w:sz w:val="26"/>
                                <w:szCs w:val="26"/>
                              </w:rPr>
                              <w:t>Incluir cobros por energía recuperada, créditos y débitos, en el mes t.</w:t>
                            </w:r>
                          </w:p>
                          <w:p w14:paraId="0A3F32B8" w14:textId="77777777" w:rsidR="00B71001" w:rsidRPr="009F1D80" w:rsidRDefault="00B71001" w:rsidP="00B55410">
                            <w:pPr>
                              <w:numPr>
                                <w:ilvl w:val="0"/>
                                <w:numId w:val="23"/>
                              </w:numPr>
                              <w:spacing w:after="0" w:line="276" w:lineRule="auto"/>
                              <w:ind w:left="426" w:hanging="284"/>
                              <w:jc w:val="left"/>
                              <w:rPr>
                                <w:rFonts w:ascii="Arial Narrow" w:hAnsi="Arial Narrow" w:cs="Arial"/>
                                <w:sz w:val="26"/>
                                <w:szCs w:val="26"/>
                              </w:rPr>
                            </w:pPr>
                            <w:r w:rsidRPr="009F1D80">
                              <w:rPr>
                                <w:rFonts w:ascii="Arial Narrow" w:hAnsi="Arial Narrow" w:cs="Arial"/>
                                <w:sz w:val="26"/>
                                <w:szCs w:val="26"/>
                              </w:rPr>
                              <w:t>EDESUR incluir cobros en el Sistema Aislado de Pedernales.</w:t>
                            </w:r>
                          </w:p>
                          <w:p w14:paraId="35898108" w14:textId="77777777" w:rsidR="00B71001" w:rsidRPr="009F1D80" w:rsidRDefault="00B71001" w:rsidP="00B55410">
                            <w:pPr>
                              <w:numPr>
                                <w:ilvl w:val="0"/>
                                <w:numId w:val="23"/>
                              </w:numPr>
                              <w:spacing w:after="0" w:line="276" w:lineRule="auto"/>
                              <w:ind w:left="426" w:hanging="284"/>
                              <w:jc w:val="left"/>
                              <w:rPr>
                                <w:rFonts w:ascii="Arial Narrow" w:hAnsi="Arial Narrow" w:cs="Arial"/>
                                <w:sz w:val="26"/>
                                <w:szCs w:val="26"/>
                              </w:rPr>
                            </w:pPr>
                            <w:r w:rsidRPr="009F1D80">
                              <w:rPr>
                                <w:rFonts w:ascii="Arial Narrow" w:hAnsi="Arial Narrow" w:cs="Arial"/>
                                <w:sz w:val="26"/>
                                <w:szCs w:val="26"/>
                              </w:rPr>
                              <w:t>En ningún caso incluir cobros por Fianzas ni por reconexión del servicio.</w:t>
                            </w:r>
                          </w:p>
                          <w:p w14:paraId="7727CE9E" w14:textId="77777777" w:rsidR="00B71001" w:rsidRPr="009F1D80" w:rsidRDefault="00B71001" w:rsidP="00B55410">
                            <w:pPr>
                              <w:jc w:val="both"/>
                              <w:rPr>
                                <w:rFonts w:ascii="Arial Narrow" w:hAnsi="Arial Narrow"/>
                                <w:sz w:val="26"/>
                                <w:szCs w:val="26"/>
                              </w:rPr>
                            </w:pPr>
                          </w:p>
                          <w:p w14:paraId="4D2E84E0" w14:textId="77777777" w:rsidR="00B71001" w:rsidRPr="009F1D80" w:rsidRDefault="00B71001" w:rsidP="00B55410">
                            <w:pPr>
                              <w:rPr>
                                <w:rFonts w:ascii="Arial Narrow" w:hAnsi="Arial Narrow"/>
                                <w:sz w:val="26"/>
                                <w:szCs w:val="26"/>
                              </w:rPr>
                            </w:pPr>
                          </w:p>
                        </w:txbxContent>
                      </wps:txbx>
                      <wps:bodyPr rot="0" vert="horz" wrap="square" lIns="91440" tIns="45720" rIns="91440" bIns="45720" anchor="ctr" anchorCtr="0" upright="1">
                        <a:noAutofit/>
                      </wps:bodyPr>
                    </wps:wsp>
                  </a:graphicData>
                </a:graphic>
              </wp:inline>
            </w:drawing>
          </mc:Choice>
          <mc:Fallback>
            <w:pict>
              <v:rect w14:anchorId="493374B1" id="Rectángulo 9" o:spid="_x0000_s1033" style="width:419.5pt;height:11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" fillcolor="#fffaeb" strokeweight="1pt">
                <v:shadow on="t" color="#7f7f7f" opacity=".5" offset="1pt"/>
                <v:textbox>
                  <w:txbxContent>
                    <w:p w14:paraId="37076C95" w14:textId="77777777" w:rsidR="00B71001" w:rsidRPr="009F1D80" w:rsidRDefault="00B71001" w:rsidP="00B55410">
                      <w:pPr>
                        <w:jc w:val="left"/>
                        <w:rPr>
                          <w:rFonts w:ascii="Arial Narrow" w:hAnsi="Arial Narrow" w:cs="Arial"/>
                          <w:sz w:val="26"/>
                          <w:szCs w:val="26"/>
                        </w:rPr>
                      </w:pPr>
                      <w:r w:rsidRPr="009F1D80">
                        <w:rPr>
                          <w:rFonts w:ascii="Arial Narrow" w:hAnsi="Arial Narrow" w:cs="Arial"/>
                          <w:sz w:val="26"/>
                          <w:szCs w:val="26"/>
                        </w:rPr>
                        <w:t>Notas:</w:t>
                      </w:r>
                    </w:p>
                    <w:p w14:paraId="32DD543D" w14:textId="77777777" w:rsidR="00B71001" w:rsidRPr="009F1D80" w:rsidRDefault="00B71001" w:rsidP="00B55410">
                      <w:pPr>
                        <w:numPr>
                          <w:ilvl w:val="0"/>
                          <w:numId w:val="23"/>
                        </w:numPr>
                        <w:spacing w:after="0" w:line="276" w:lineRule="auto"/>
                        <w:ind w:left="426" w:hanging="284"/>
                        <w:jc w:val="left"/>
                        <w:rPr>
                          <w:rFonts w:ascii="Arial Narrow" w:hAnsi="Arial Narrow" w:cs="Arial"/>
                          <w:sz w:val="26"/>
                          <w:szCs w:val="26"/>
                        </w:rPr>
                      </w:pPr>
                      <w:r w:rsidRPr="009F1D80">
                        <w:rPr>
                          <w:rFonts w:ascii="Arial Narrow" w:hAnsi="Arial Narrow" w:cs="Arial"/>
                          <w:sz w:val="26"/>
                          <w:szCs w:val="26"/>
                        </w:rPr>
                        <w:t>Incluir cobros por consumo propio EDE, en el mes t.</w:t>
                      </w:r>
                    </w:p>
                    <w:p w14:paraId="6FF58644" w14:textId="77777777" w:rsidR="00B71001" w:rsidRPr="009F1D80" w:rsidRDefault="00B71001" w:rsidP="00B55410">
                      <w:pPr>
                        <w:numPr>
                          <w:ilvl w:val="0"/>
                          <w:numId w:val="23"/>
                        </w:numPr>
                        <w:spacing w:after="0" w:line="276" w:lineRule="auto"/>
                        <w:ind w:left="426" w:hanging="284"/>
                        <w:jc w:val="left"/>
                        <w:rPr>
                          <w:rFonts w:ascii="Arial Narrow" w:hAnsi="Arial Narrow" w:cs="Arial"/>
                          <w:sz w:val="26"/>
                          <w:szCs w:val="26"/>
                        </w:rPr>
                      </w:pPr>
                      <w:r w:rsidRPr="009F1D80">
                        <w:rPr>
                          <w:rFonts w:ascii="Arial Narrow" w:hAnsi="Arial Narrow" w:cs="Arial"/>
                          <w:sz w:val="26"/>
                          <w:szCs w:val="26"/>
                        </w:rPr>
                        <w:t xml:space="preserve">Incluir los cobros a clientes con medidores prepago, en el mes t. </w:t>
                      </w:r>
                    </w:p>
                    <w:p w14:paraId="392CE44D" w14:textId="77777777" w:rsidR="00B71001" w:rsidRPr="009F1D80" w:rsidRDefault="00B71001" w:rsidP="00B55410">
                      <w:pPr>
                        <w:numPr>
                          <w:ilvl w:val="0"/>
                          <w:numId w:val="23"/>
                        </w:numPr>
                        <w:spacing w:after="0" w:line="276" w:lineRule="auto"/>
                        <w:ind w:left="426" w:hanging="284"/>
                        <w:jc w:val="left"/>
                        <w:rPr>
                          <w:rFonts w:ascii="Arial Narrow" w:hAnsi="Arial Narrow" w:cs="Arial"/>
                          <w:sz w:val="26"/>
                          <w:szCs w:val="26"/>
                        </w:rPr>
                      </w:pPr>
                      <w:r w:rsidRPr="009F1D80">
                        <w:rPr>
                          <w:rFonts w:ascii="Arial Narrow" w:hAnsi="Arial Narrow" w:cs="Arial"/>
                          <w:sz w:val="26"/>
                          <w:szCs w:val="26"/>
                        </w:rPr>
                        <w:t>Incluir cobros por energía recuperada, créditos y débitos, en el mes t.</w:t>
                      </w:r>
                    </w:p>
                    <w:p w14:paraId="0A3F32B8" w14:textId="77777777" w:rsidR="00B71001" w:rsidRPr="009F1D80" w:rsidRDefault="00B71001" w:rsidP="00B55410">
                      <w:pPr>
                        <w:numPr>
                          <w:ilvl w:val="0"/>
                          <w:numId w:val="23"/>
                        </w:numPr>
                        <w:spacing w:after="0" w:line="276" w:lineRule="auto"/>
                        <w:ind w:left="426" w:hanging="284"/>
                        <w:jc w:val="left"/>
                        <w:rPr>
                          <w:rFonts w:ascii="Arial Narrow" w:hAnsi="Arial Narrow" w:cs="Arial"/>
                          <w:sz w:val="26"/>
                          <w:szCs w:val="26"/>
                        </w:rPr>
                      </w:pPr>
                      <w:r w:rsidRPr="009F1D80">
                        <w:rPr>
                          <w:rFonts w:ascii="Arial Narrow" w:hAnsi="Arial Narrow" w:cs="Arial"/>
                          <w:sz w:val="26"/>
                          <w:szCs w:val="26"/>
                        </w:rPr>
                        <w:t>EDESUR incluir cobros en el Sistema Aislado de Pedernales.</w:t>
                      </w:r>
                    </w:p>
                    <w:p w14:paraId="35898108" w14:textId="77777777" w:rsidR="00B71001" w:rsidRPr="009F1D80" w:rsidRDefault="00B71001" w:rsidP="00B55410">
                      <w:pPr>
                        <w:numPr>
                          <w:ilvl w:val="0"/>
                          <w:numId w:val="23"/>
                        </w:numPr>
                        <w:spacing w:after="0" w:line="276" w:lineRule="auto"/>
                        <w:ind w:left="426" w:hanging="284"/>
                        <w:jc w:val="left"/>
                        <w:rPr>
                          <w:rFonts w:ascii="Arial Narrow" w:hAnsi="Arial Narrow" w:cs="Arial"/>
                          <w:sz w:val="26"/>
                          <w:szCs w:val="26"/>
                        </w:rPr>
                      </w:pPr>
                      <w:r w:rsidRPr="009F1D80">
                        <w:rPr>
                          <w:rFonts w:ascii="Arial Narrow" w:hAnsi="Arial Narrow" w:cs="Arial"/>
                          <w:sz w:val="26"/>
                          <w:szCs w:val="26"/>
                        </w:rPr>
                        <w:t>En ningún caso incluir cobros por Fianzas ni por reconexión del servicio.</w:t>
                      </w:r>
                    </w:p>
                    <w:p w14:paraId="7727CE9E" w14:textId="77777777" w:rsidR="00B71001" w:rsidRPr="009F1D80" w:rsidRDefault="00B71001" w:rsidP="00B55410">
                      <w:pPr>
                        <w:jc w:val="both"/>
                        <w:rPr>
                          <w:rFonts w:ascii="Arial Narrow" w:hAnsi="Arial Narrow"/>
                          <w:sz w:val="26"/>
                          <w:szCs w:val="26"/>
                        </w:rPr>
                      </w:pPr>
                    </w:p>
                    <w:p w14:paraId="4D2E84E0" w14:textId="77777777" w:rsidR="00B71001" w:rsidRPr="009F1D80" w:rsidRDefault="00B71001" w:rsidP="00B55410">
                      <w:pPr>
                        <w:rPr>
                          <w:rFonts w:ascii="Arial Narrow" w:hAnsi="Arial Narrow"/>
                          <w:sz w:val="26"/>
                          <w:szCs w:val="26"/>
                        </w:rPr>
                      </w:pPr>
                    </w:p>
                  </w:txbxContent>
                </v:textbox>
                <w10:anchorlock/>
              </v:rect>
            </w:pict>
          </mc:Fallback>
        </mc:AlternateContent>
      </w:r>
    </w:p>
    <w:p w14:paraId="7B63A5A2" w14:textId="77777777" w:rsidR="00B55410" w:rsidRPr="00E01A5F" w:rsidRDefault="00B55410" w:rsidP="00B55410">
      <w:pPr>
        <w:spacing w:line="276" w:lineRule="auto"/>
        <w:jc w:val="both"/>
        <w:rPr>
          <w:rFonts w:ascii="Arial Narrow" w:hAnsi="Arial Narrow" w:cs="Arial"/>
          <w:sz w:val="26"/>
          <w:szCs w:val="26"/>
        </w:rPr>
      </w:pPr>
    </w:p>
    <w:p w14:paraId="38D63163" w14:textId="77777777" w:rsidR="00B55410" w:rsidRPr="00E01A5F" w:rsidRDefault="00B63E31" w:rsidP="00B55410">
      <w:pPr>
        <w:spacing w:line="276" w:lineRule="auto"/>
        <w:jc w:val="both"/>
        <w:rPr>
          <w:rFonts w:ascii="Arial Narrow" w:hAnsi="Arial Narrow" w:cs="Arial"/>
          <w:sz w:val="26"/>
          <w:szCs w:val="26"/>
        </w:rPr>
      </w:pPr>
      <m:oMath>
        <m:sSub>
          <m:sSubPr>
            <m:ctrlPr>
              <w:rPr>
                <w:rFonts w:ascii="Cambria Math" w:hAnsi="Cambria Math" w:cs="Arial"/>
                <w:sz w:val="26"/>
                <w:szCs w:val="26"/>
              </w:rPr>
            </m:ctrlPr>
          </m:sSubPr>
          <m:e>
            <m:r>
              <w:rPr>
                <w:rFonts w:ascii="Cambria Math" w:hAnsi="Cambria Math" w:cs="Arial"/>
                <w:sz w:val="26"/>
                <w:szCs w:val="26"/>
              </w:rPr>
              <m:t>EFM</m:t>
            </m:r>
          </m:e>
          <m:sub>
            <m:r>
              <w:rPr>
                <w:rFonts w:ascii="Cambria Math" w:hAnsi="Cambria Math" w:cs="Arial"/>
                <w:sz w:val="26"/>
                <w:szCs w:val="26"/>
              </w:rPr>
              <m:t>t</m:t>
            </m:r>
          </m:sub>
        </m:sSub>
      </m:oMath>
      <w:r w:rsidR="00B55410" w:rsidRPr="00E01A5F">
        <w:rPr>
          <w:rFonts w:ascii="Arial Narrow" w:hAnsi="Arial Narrow" w:cs="Arial"/>
          <w:sz w:val="26"/>
          <w:szCs w:val="26"/>
        </w:rPr>
        <w:t>:</w:t>
      </w:r>
      <w:r w:rsidR="00B55410" w:rsidRPr="00E01A5F">
        <w:rPr>
          <w:rFonts w:ascii="Arial Narrow" w:hAnsi="Arial Narrow" w:cs="Arial"/>
          <w:sz w:val="26"/>
          <w:szCs w:val="26"/>
        </w:rPr>
        <w:tab/>
        <w:t>Es la sumatoria de los montos totales facturados por conceptos de cargo fijo, energía, potencia y cualquier otra facturación asociada a la entrega del servicio, en el mes t, a los clientes regulados y no regulados, y medido en MMRD$. Se exceptúan la facturación de fianzas y de reconexión del servicio.</w:t>
      </w:r>
    </w:p>
    <w:p w14:paraId="0C316E6C" w14:textId="77777777" w:rsidR="00B55410" w:rsidRPr="00E01A5F" w:rsidRDefault="00B55410" w:rsidP="00B55410">
      <w:pPr>
        <w:spacing w:line="276" w:lineRule="auto"/>
        <w:jc w:val="both"/>
        <w:rPr>
          <w:rFonts w:ascii="Arial Narrow" w:hAnsi="Arial Narrow" w:cs="Arial"/>
          <w:sz w:val="26"/>
          <w:szCs w:val="26"/>
        </w:rPr>
      </w:pPr>
      <w:r w:rsidRPr="00E01A5F">
        <w:rPr>
          <w:rFonts w:ascii="Arial Narrow" w:hAnsi="Arial Narrow" w:cs="Arial"/>
          <w:noProof/>
          <w:sz w:val="26"/>
          <w:szCs w:val="26"/>
          <w:lang w:val="es-DO" w:eastAsia="es-DO"/>
        </w:rPr>
        <mc:AlternateContent>
          <mc:Choice Requires="wps">
            <w:drawing>
              <wp:inline distT="0" distB="0" distL="0" distR="0" wp14:anchorId="542599AE" wp14:editId="41857AB5">
                <wp:extent cx="5419725" cy="1466850"/>
                <wp:effectExtent l="0" t="0" r="47625" b="57150"/>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466850"/>
                        </a:xfrm>
                        <a:prstGeom prst="rect">
                          <a:avLst/>
                        </a:prstGeom>
                        <a:solidFill>
                          <a:srgbClr val="FFFAEB"/>
                        </a:solidFill>
                        <a:ln w="12700" algn="ctr">
                          <a:solidFill>
                            <a:srgbClr val="404040"/>
                          </a:solidFill>
                          <a:miter lim="800000"/>
                          <a:headEnd/>
                          <a:tailEnd/>
                        </a:ln>
                        <a:effectLst>
                          <a:outerShdw dist="28398" dir="3806097" algn="ctr" rotWithShape="0">
                            <a:srgbClr val="7F7F7F">
                              <a:alpha val="50000"/>
                            </a:srgbClr>
                          </a:outerShdw>
                        </a:effectLst>
                      </wps:spPr>
                      <wps:txbx>
                        <w:txbxContent>
                          <w:p w14:paraId="4B159AEE" w14:textId="77777777" w:rsidR="00B71001" w:rsidRPr="009F1D80" w:rsidRDefault="00B71001" w:rsidP="00B55410">
                            <w:pPr>
                              <w:jc w:val="left"/>
                              <w:rPr>
                                <w:rFonts w:ascii="Arial Narrow" w:hAnsi="Arial Narrow" w:cs="Arial"/>
                                <w:sz w:val="26"/>
                                <w:szCs w:val="26"/>
                              </w:rPr>
                            </w:pPr>
                            <w:r w:rsidRPr="009F1D80">
                              <w:rPr>
                                <w:rFonts w:ascii="Arial Narrow" w:hAnsi="Arial Narrow" w:cs="Arial"/>
                                <w:sz w:val="26"/>
                                <w:szCs w:val="26"/>
                              </w:rPr>
                              <w:t>Notas:</w:t>
                            </w:r>
                          </w:p>
                          <w:p w14:paraId="16E5710F" w14:textId="77777777" w:rsidR="00B71001" w:rsidRPr="009F1D80" w:rsidRDefault="00B71001" w:rsidP="00B55410">
                            <w:pPr>
                              <w:spacing w:after="0" w:line="276" w:lineRule="auto"/>
                              <w:jc w:val="left"/>
                              <w:rPr>
                                <w:rFonts w:ascii="Arial Narrow" w:hAnsi="Arial Narrow" w:cs="Arial"/>
                                <w:sz w:val="26"/>
                                <w:szCs w:val="26"/>
                              </w:rPr>
                            </w:pPr>
                            <w:r w:rsidRPr="009F1D80">
                              <w:rPr>
                                <w:rFonts w:ascii="Arial Narrow" w:hAnsi="Arial Narrow" w:cs="Arial"/>
                                <w:sz w:val="26"/>
                                <w:szCs w:val="26"/>
                              </w:rPr>
                              <w:t>1. Incluir facturación por consumo propio EDE, en el mes t.</w:t>
                            </w:r>
                          </w:p>
                          <w:p w14:paraId="7B2F02B2" w14:textId="77777777" w:rsidR="00B71001" w:rsidRPr="009F1D80" w:rsidRDefault="00B71001" w:rsidP="00B55410">
                            <w:pPr>
                              <w:spacing w:after="0" w:line="276" w:lineRule="auto"/>
                              <w:jc w:val="left"/>
                              <w:rPr>
                                <w:rFonts w:ascii="Arial Narrow" w:hAnsi="Arial Narrow" w:cs="Arial"/>
                                <w:sz w:val="26"/>
                                <w:szCs w:val="26"/>
                              </w:rPr>
                            </w:pPr>
                            <w:r w:rsidRPr="009F1D80">
                              <w:rPr>
                                <w:rFonts w:ascii="Arial Narrow" w:hAnsi="Arial Narrow" w:cs="Arial"/>
                                <w:sz w:val="26"/>
                                <w:szCs w:val="26"/>
                              </w:rPr>
                              <w:t>2. Incluir facturación a clientes con suministros prepago, en el mes t.</w:t>
                            </w:r>
                          </w:p>
                          <w:p w14:paraId="558753FC" w14:textId="77777777" w:rsidR="00B71001" w:rsidRPr="009F1D80" w:rsidRDefault="00B71001" w:rsidP="00B55410">
                            <w:pPr>
                              <w:spacing w:after="0" w:line="276" w:lineRule="auto"/>
                              <w:jc w:val="left"/>
                              <w:rPr>
                                <w:rFonts w:ascii="Arial Narrow" w:hAnsi="Arial Narrow" w:cs="Arial"/>
                                <w:sz w:val="26"/>
                                <w:szCs w:val="26"/>
                              </w:rPr>
                            </w:pPr>
                            <w:r w:rsidRPr="009F1D80">
                              <w:rPr>
                                <w:rFonts w:ascii="Arial Narrow" w:hAnsi="Arial Narrow" w:cs="Arial"/>
                                <w:sz w:val="26"/>
                                <w:szCs w:val="26"/>
                              </w:rPr>
                              <w:t>3. Incluir facturación por energía recuperada, créditos y débitos realizados en el mes t.</w:t>
                            </w:r>
                          </w:p>
                          <w:p w14:paraId="43ADC4FC" w14:textId="77777777" w:rsidR="00B71001" w:rsidRPr="009F1D80" w:rsidRDefault="00B71001" w:rsidP="00B55410">
                            <w:pPr>
                              <w:spacing w:after="0" w:line="276" w:lineRule="auto"/>
                              <w:jc w:val="left"/>
                              <w:rPr>
                                <w:rFonts w:ascii="Arial Narrow" w:hAnsi="Arial Narrow" w:cs="Arial"/>
                                <w:sz w:val="26"/>
                                <w:szCs w:val="26"/>
                              </w:rPr>
                            </w:pPr>
                            <w:r w:rsidRPr="009F1D80">
                              <w:rPr>
                                <w:rFonts w:ascii="Arial Narrow" w:hAnsi="Arial Narrow" w:cs="Arial"/>
                                <w:sz w:val="26"/>
                                <w:szCs w:val="26"/>
                              </w:rPr>
                              <w:t>4. EDESUR incluir facturación en el Sistema Aislado de Pedernales.</w:t>
                            </w:r>
                          </w:p>
                          <w:p w14:paraId="7C6ADA99" w14:textId="77777777" w:rsidR="00B71001" w:rsidRPr="009F1D80" w:rsidRDefault="00B71001" w:rsidP="00B55410">
                            <w:pPr>
                              <w:spacing w:after="0" w:line="276" w:lineRule="auto"/>
                              <w:jc w:val="left"/>
                              <w:rPr>
                                <w:rFonts w:ascii="Arial Narrow" w:hAnsi="Arial Narrow" w:cs="Arial"/>
                                <w:sz w:val="26"/>
                                <w:szCs w:val="26"/>
                              </w:rPr>
                            </w:pPr>
                            <w:r w:rsidRPr="009F1D80">
                              <w:rPr>
                                <w:rFonts w:ascii="Arial Narrow" w:hAnsi="Arial Narrow" w:cs="Arial"/>
                                <w:sz w:val="26"/>
                                <w:szCs w:val="26"/>
                              </w:rPr>
                              <w:t>5. No incluir facturación de Fianzas ni de reconexión del servicio.</w:t>
                            </w:r>
                          </w:p>
                        </w:txbxContent>
                      </wps:txbx>
                      <wps:bodyPr rot="0" vert="horz" wrap="square" lIns="91440" tIns="45720" rIns="91440" bIns="45720" anchor="ctr" anchorCtr="0" upright="1">
                        <a:noAutofit/>
                      </wps:bodyPr>
                    </wps:wsp>
                  </a:graphicData>
                </a:graphic>
              </wp:inline>
            </w:drawing>
          </mc:Choice>
          <mc:Fallback>
            <w:pict>
              <v:rect w14:anchorId="542599AE" id="Rectángulo 11" o:spid="_x0000_s1034" style="width:426.75pt;height:1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" fillcolor="#fffaeb" strokecolor="#404040" strokeweight="1pt">
                <v:shadow on="t" color="#7f7f7f" opacity=".5" offset="1pt"/>
                <v:textbox>
                  <w:txbxContent>
                    <w:p w14:paraId="4B159AEE" w14:textId="77777777" w:rsidR="00B71001" w:rsidRPr="009F1D80" w:rsidRDefault="00B71001" w:rsidP="00B55410">
                      <w:pPr>
                        <w:jc w:val="left"/>
                        <w:rPr>
                          <w:rFonts w:ascii="Arial Narrow" w:hAnsi="Arial Narrow" w:cs="Arial"/>
                          <w:sz w:val="26"/>
                          <w:szCs w:val="26"/>
                        </w:rPr>
                      </w:pPr>
                      <w:r w:rsidRPr="009F1D80">
                        <w:rPr>
                          <w:rFonts w:ascii="Arial Narrow" w:hAnsi="Arial Narrow" w:cs="Arial"/>
                          <w:sz w:val="26"/>
                          <w:szCs w:val="26"/>
                        </w:rPr>
                        <w:t>Notas:</w:t>
                      </w:r>
                    </w:p>
                    <w:p w14:paraId="16E5710F" w14:textId="77777777" w:rsidR="00B71001" w:rsidRPr="009F1D80" w:rsidRDefault="00B71001" w:rsidP="00B55410">
                      <w:pPr>
                        <w:spacing w:after="0" w:line="276" w:lineRule="auto"/>
                        <w:jc w:val="left"/>
                        <w:rPr>
                          <w:rFonts w:ascii="Arial Narrow" w:hAnsi="Arial Narrow" w:cs="Arial"/>
                          <w:sz w:val="26"/>
                          <w:szCs w:val="26"/>
                        </w:rPr>
                      </w:pPr>
                      <w:r w:rsidRPr="009F1D80">
                        <w:rPr>
                          <w:rFonts w:ascii="Arial Narrow" w:hAnsi="Arial Narrow" w:cs="Arial"/>
                          <w:sz w:val="26"/>
                          <w:szCs w:val="26"/>
                        </w:rPr>
                        <w:t>1. Incluir facturación por consumo propio EDE, en el mes t.</w:t>
                      </w:r>
                    </w:p>
                    <w:p w14:paraId="7B2F02B2" w14:textId="77777777" w:rsidR="00B71001" w:rsidRPr="009F1D80" w:rsidRDefault="00B71001" w:rsidP="00B55410">
                      <w:pPr>
                        <w:spacing w:after="0" w:line="276" w:lineRule="auto"/>
                        <w:jc w:val="left"/>
                        <w:rPr>
                          <w:rFonts w:ascii="Arial Narrow" w:hAnsi="Arial Narrow" w:cs="Arial"/>
                          <w:sz w:val="26"/>
                          <w:szCs w:val="26"/>
                        </w:rPr>
                      </w:pPr>
                      <w:r w:rsidRPr="009F1D80">
                        <w:rPr>
                          <w:rFonts w:ascii="Arial Narrow" w:hAnsi="Arial Narrow" w:cs="Arial"/>
                          <w:sz w:val="26"/>
                          <w:szCs w:val="26"/>
                        </w:rPr>
                        <w:t>2. Incluir facturación a clientes con suministros prepago, en el mes t.</w:t>
                      </w:r>
                    </w:p>
                    <w:p w14:paraId="558753FC" w14:textId="77777777" w:rsidR="00B71001" w:rsidRPr="009F1D80" w:rsidRDefault="00B71001" w:rsidP="00B55410">
                      <w:pPr>
                        <w:spacing w:after="0" w:line="276" w:lineRule="auto"/>
                        <w:jc w:val="left"/>
                        <w:rPr>
                          <w:rFonts w:ascii="Arial Narrow" w:hAnsi="Arial Narrow" w:cs="Arial"/>
                          <w:sz w:val="26"/>
                          <w:szCs w:val="26"/>
                        </w:rPr>
                      </w:pPr>
                      <w:r w:rsidRPr="009F1D80">
                        <w:rPr>
                          <w:rFonts w:ascii="Arial Narrow" w:hAnsi="Arial Narrow" w:cs="Arial"/>
                          <w:sz w:val="26"/>
                          <w:szCs w:val="26"/>
                        </w:rPr>
                        <w:t>3. Incluir facturación por energía recuperada, créditos y débitos realizados en el mes t.</w:t>
                      </w:r>
                    </w:p>
                    <w:p w14:paraId="43ADC4FC" w14:textId="77777777" w:rsidR="00B71001" w:rsidRPr="009F1D80" w:rsidRDefault="00B71001" w:rsidP="00B55410">
                      <w:pPr>
                        <w:spacing w:after="0" w:line="276" w:lineRule="auto"/>
                        <w:jc w:val="left"/>
                        <w:rPr>
                          <w:rFonts w:ascii="Arial Narrow" w:hAnsi="Arial Narrow" w:cs="Arial"/>
                          <w:sz w:val="26"/>
                          <w:szCs w:val="26"/>
                        </w:rPr>
                      </w:pPr>
                      <w:r w:rsidRPr="009F1D80">
                        <w:rPr>
                          <w:rFonts w:ascii="Arial Narrow" w:hAnsi="Arial Narrow" w:cs="Arial"/>
                          <w:sz w:val="26"/>
                          <w:szCs w:val="26"/>
                        </w:rPr>
                        <w:t>4. EDESUR incluir facturación en el Sistema Aislado de Pedernales.</w:t>
                      </w:r>
                    </w:p>
                    <w:p w14:paraId="7C6ADA99" w14:textId="77777777" w:rsidR="00B71001" w:rsidRPr="009F1D80" w:rsidRDefault="00B71001" w:rsidP="00B55410">
                      <w:pPr>
                        <w:spacing w:after="0" w:line="276" w:lineRule="auto"/>
                        <w:jc w:val="left"/>
                        <w:rPr>
                          <w:rFonts w:ascii="Arial Narrow" w:hAnsi="Arial Narrow" w:cs="Arial"/>
                          <w:sz w:val="26"/>
                          <w:szCs w:val="26"/>
                        </w:rPr>
                      </w:pPr>
                      <w:r w:rsidRPr="009F1D80">
                        <w:rPr>
                          <w:rFonts w:ascii="Arial Narrow" w:hAnsi="Arial Narrow" w:cs="Arial"/>
                          <w:sz w:val="26"/>
                          <w:szCs w:val="26"/>
                        </w:rPr>
                        <w:t>5. No incluir facturación de Fianzas ni de reconexión del servicio.</w:t>
                      </w:r>
                    </w:p>
                  </w:txbxContent>
                </v:textbox>
                <w10:anchorlock/>
              </v:rect>
            </w:pict>
          </mc:Fallback>
        </mc:AlternateContent>
      </w:r>
    </w:p>
    <w:p w14:paraId="5F65D556" w14:textId="77777777" w:rsidR="00B55410" w:rsidRDefault="00B55410" w:rsidP="00B55410">
      <w:pPr>
        <w:spacing w:line="276" w:lineRule="auto"/>
        <w:jc w:val="both"/>
        <w:rPr>
          <w:rFonts w:ascii="Arial Narrow" w:hAnsi="Arial Narrow" w:cs="Arial"/>
          <w:sz w:val="26"/>
          <w:szCs w:val="26"/>
        </w:rPr>
      </w:pPr>
    </w:p>
    <w:p w14:paraId="157E6B0A" w14:textId="7CEE2E3C" w:rsidR="00461C5B" w:rsidRPr="008B564D" w:rsidRDefault="00B55410" w:rsidP="00461C5B">
      <w:pPr>
        <w:spacing w:line="276" w:lineRule="auto"/>
        <w:jc w:val="both"/>
        <w:rPr>
          <w:rFonts w:ascii="Arial Narrow" w:hAnsi="Arial Narrow" w:cs="Arial"/>
          <w:sz w:val="26"/>
          <w:szCs w:val="26"/>
        </w:rPr>
      </w:pPr>
      <w:r>
        <w:rPr>
          <w:rFonts w:ascii="Arial Narrow" w:hAnsi="Arial Narrow" w:cs="Arial"/>
          <w:sz w:val="26"/>
          <w:szCs w:val="26"/>
        </w:rPr>
        <w:t xml:space="preserve">Los valores de cobranzas para el período </w:t>
      </w:r>
      <w:r w:rsidR="00736EF3">
        <w:rPr>
          <w:rFonts w:ascii="Arial Narrow" w:hAnsi="Arial Narrow" w:cs="Arial"/>
          <w:sz w:val="26"/>
          <w:szCs w:val="26"/>
        </w:rPr>
        <w:t>Abril</w:t>
      </w:r>
      <w:r>
        <w:rPr>
          <w:rFonts w:ascii="Arial Narrow" w:hAnsi="Arial Narrow" w:cs="Arial"/>
          <w:sz w:val="26"/>
          <w:szCs w:val="26"/>
        </w:rPr>
        <w:t xml:space="preserve"> – </w:t>
      </w:r>
      <w:proofErr w:type="gramStart"/>
      <w:r w:rsidR="00736EF3">
        <w:rPr>
          <w:rFonts w:ascii="Arial Narrow" w:hAnsi="Arial Narrow" w:cs="Arial"/>
          <w:sz w:val="26"/>
          <w:szCs w:val="26"/>
        </w:rPr>
        <w:t>Junio</w:t>
      </w:r>
      <w:proofErr w:type="gramEnd"/>
      <w:r>
        <w:rPr>
          <w:rFonts w:ascii="Arial Narrow" w:hAnsi="Arial Narrow" w:cs="Arial"/>
          <w:sz w:val="26"/>
          <w:szCs w:val="26"/>
        </w:rPr>
        <w:t xml:space="preserve"> 202</w:t>
      </w:r>
      <w:r w:rsidR="001F42B0">
        <w:rPr>
          <w:rFonts w:ascii="Arial Narrow" w:hAnsi="Arial Narrow" w:cs="Arial"/>
          <w:sz w:val="26"/>
          <w:szCs w:val="26"/>
        </w:rPr>
        <w:t>2</w:t>
      </w:r>
      <w:r>
        <w:rPr>
          <w:rFonts w:ascii="Arial Narrow" w:hAnsi="Arial Narrow" w:cs="Arial"/>
          <w:sz w:val="26"/>
          <w:szCs w:val="26"/>
        </w:rPr>
        <w:t xml:space="preserve"> son los siguientes:</w:t>
      </w:r>
    </w:p>
    <w:tbl>
      <w:tblPr>
        <w:tblW w:w="10017" w:type="dxa"/>
        <w:tblCellMar>
          <w:left w:w="70" w:type="dxa"/>
          <w:right w:w="70" w:type="dxa"/>
        </w:tblCellMar>
        <w:tblLook w:val="04A0" w:firstRow="1" w:lastRow="0" w:firstColumn="1" w:lastColumn="0" w:noHBand="0" w:noVBand="1"/>
      </w:tblPr>
      <w:tblGrid>
        <w:gridCol w:w="2120"/>
        <w:gridCol w:w="945"/>
        <w:gridCol w:w="945"/>
        <w:gridCol w:w="1433"/>
        <w:gridCol w:w="1575"/>
        <w:gridCol w:w="945"/>
        <w:gridCol w:w="1099"/>
        <w:gridCol w:w="955"/>
      </w:tblGrid>
      <w:tr w:rsidR="008E0C71" w:rsidRPr="008E0C71" w14:paraId="7DF4D198" w14:textId="77777777" w:rsidTr="008E0C71">
        <w:trPr>
          <w:trHeight w:val="288"/>
        </w:trPr>
        <w:tc>
          <w:tcPr>
            <w:tcW w:w="2120" w:type="dxa"/>
            <w:tcBorders>
              <w:top w:val="nil"/>
              <w:left w:val="nil"/>
              <w:bottom w:val="nil"/>
              <w:right w:val="nil"/>
            </w:tcBorders>
            <w:shd w:val="clear" w:color="auto" w:fill="auto"/>
            <w:noWrap/>
            <w:vAlign w:val="bottom"/>
            <w:hideMark/>
          </w:tcPr>
          <w:p w14:paraId="713A7244" w14:textId="77777777" w:rsidR="008E0C71" w:rsidRPr="008E0C71" w:rsidRDefault="008E0C71" w:rsidP="008E0C71">
            <w:pPr>
              <w:spacing w:after="0"/>
              <w:jc w:val="left"/>
              <w:rPr>
                <w:rFonts w:ascii="Times New Roman" w:eastAsia="Times New Roman" w:hAnsi="Times New Roman" w:cs="Times New Roman"/>
                <w:sz w:val="24"/>
                <w:szCs w:val="24"/>
                <w:lang w:eastAsia="es-ES"/>
              </w:rPr>
            </w:pPr>
          </w:p>
        </w:tc>
        <w:tc>
          <w:tcPr>
            <w:tcW w:w="7897" w:type="dxa"/>
            <w:gridSpan w:val="7"/>
            <w:tcBorders>
              <w:top w:val="nil"/>
              <w:left w:val="nil"/>
              <w:bottom w:val="nil"/>
              <w:right w:val="nil"/>
            </w:tcBorders>
            <w:shd w:val="clear" w:color="auto" w:fill="auto"/>
            <w:noWrap/>
            <w:vAlign w:val="bottom"/>
            <w:hideMark/>
          </w:tcPr>
          <w:p w14:paraId="6A3E955C" w14:textId="21FA11CB" w:rsidR="008E0C71" w:rsidRPr="008E0C71" w:rsidRDefault="003855B0" w:rsidP="003855B0">
            <w:pPr>
              <w:spacing w:after="0"/>
              <w:jc w:val="both"/>
              <w:rPr>
                <w:rFonts w:ascii="Calibri" w:eastAsia="Times New Roman" w:hAnsi="Calibri" w:cs="Calibri"/>
                <w:b/>
                <w:bCs/>
                <w:color w:val="000000"/>
                <w:sz w:val="22"/>
                <w:szCs w:val="22"/>
                <w:lang w:eastAsia="es-ES"/>
              </w:rPr>
            </w:pPr>
            <w:r>
              <w:rPr>
                <w:rFonts w:ascii="Calibri" w:eastAsia="Times New Roman" w:hAnsi="Calibri" w:cs="Calibri"/>
                <w:b/>
                <w:bCs/>
                <w:color w:val="000000"/>
                <w:sz w:val="22"/>
                <w:szCs w:val="22"/>
                <w:lang w:eastAsia="es-ES"/>
              </w:rPr>
              <w:t xml:space="preserve">                                          </w:t>
            </w:r>
            <w:r w:rsidR="008E0C71" w:rsidRPr="008E0C71">
              <w:rPr>
                <w:rFonts w:ascii="Calibri" w:eastAsia="Times New Roman" w:hAnsi="Calibri" w:cs="Calibri"/>
                <w:b/>
                <w:bCs/>
                <w:color w:val="000000"/>
                <w:sz w:val="22"/>
                <w:szCs w:val="22"/>
                <w:lang w:eastAsia="es-ES"/>
              </w:rPr>
              <w:t>COBRANZAS (%)</w:t>
            </w:r>
          </w:p>
        </w:tc>
      </w:tr>
      <w:tr w:rsidR="008E0C71" w:rsidRPr="008E0C71" w14:paraId="44FB304A" w14:textId="77777777" w:rsidTr="008E0C71">
        <w:trPr>
          <w:trHeight w:val="288"/>
        </w:trPr>
        <w:tc>
          <w:tcPr>
            <w:tcW w:w="2120" w:type="dxa"/>
            <w:tcBorders>
              <w:top w:val="nil"/>
              <w:left w:val="nil"/>
              <w:bottom w:val="nil"/>
              <w:right w:val="nil"/>
            </w:tcBorders>
            <w:shd w:val="clear" w:color="auto" w:fill="auto"/>
            <w:noWrap/>
            <w:vAlign w:val="bottom"/>
            <w:hideMark/>
          </w:tcPr>
          <w:p w14:paraId="3419B8FE" w14:textId="77777777" w:rsidR="008E0C71" w:rsidRPr="008E0C71" w:rsidRDefault="008E0C71" w:rsidP="008E0C71">
            <w:pPr>
              <w:spacing w:after="0"/>
              <w:rPr>
                <w:rFonts w:ascii="Calibri" w:eastAsia="Times New Roman" w:hAnsi="Calibri" w:cs="Calibri"/>
                <w:b/>
                <w:bCs/>
                <w:color w:val="000000"/>
                <w:sz w:val="22"/>
                <w:szCs w:val="22"/>
                <w:lang w:eastAsia="es-ES"/>
              </w:rPr>
            </w:pPr>
          </w:p>
        </w:tc>
        <w:tc>
          <w:tcPr>
            <w:tcW w:w="945" w:type="dxa"/>
            <w:tcBorders>
              <w:top w:val="nil"/>
              <w:left w:val="nil"/>
              <w:bottom w:val="nil"/>
              <w:right w:val="nil"/>
            </w:tcBorders>
            <w:shd w:val="clear" w:color="auto" w:fill="auto"/>
            <w:noWrap/>
            <w:vAlign w:val="bottom"/>
            <w:hideMark/>
          </w:tcPr>
          <w:p w14:paraId="59DABD04" w14:textId="77777777" w:rsidR="008E0C71" w:rsidRPr="008E0C71" w:rsidRDefault="008E0C71" w:rsidP="008E0C71">
            <w:pPr>
              <w:spacing w:after="0"/>
              <w:jc w:val="left"/>
              <w:rPr>
                <w:rFonts w:ascii="Times New Roman" w:eastAsia="Times New Roman" w:hAnsi="Times New Roman" w:cs="Times New Roman"/>
                <w:sz w:val="20"/>
                <w:szCs w:val="20"/>
                <w:lang w:eastAsia="es-ES"/>
              </w:rPr>
            </w:pPr>
          </w:p>
        </w:tc>
        <w:tc>
          <w:tcPr>
            <w:tcW w:w="945" w:type="dxa"/>
            <w:tcBorders>
              <w:top w:val="nil"/>
              <w:left w:val="nil"/>
              <w:bottom w:val="nil"/>
              <w:right w:val="nil"/>
            </w:tcBorders>
            <w:shd w:val="clear" w:color="auto" w:fill="auto"/>
            <w:noWrap/>
            <w:vAlign w:val="bottom"/>
            <w:hideMark/>
          </w:tcPr>
          <w:p w14:paraId="37922D01" w14:textId="77777777" w:rsidR="008E0C71" w:rsidRPr="008E0C71" w:rsidRDefault="008E0C71" w:rsidP="008E0C71">
            <w:pPr>
              <w:spacing w:after="0"/>
              <w:jc w:val="left"/>
              <w:rPr>
                <w:rFonts w:ascii="Times New Roman" w:eastAsia="Times New Roman" w:hAnsi="Times New Roman" w:cs="Times New Roman"/>
                <w:sz w:val="20"/>
                <w:szCs w:val="20"/>
                <w:lang w:eastAsia="es-ES"/>
              </w:rPr>
            </w:pPr>
          </w:p>
        </w:tc>
        <w:tc>
          <w:tcPr>
            <w:tcW w:w="1433" w:type="dxa"/>
            <w:tcBorders>
              <w:top w:val="nil"/>
              <w:left w:val="nil"/>
              <w:bottom w:val="nil"/>
              <w:right w:val="nil"/>
            </w:tcBorders>
            <w:shd w:val="clear" w:color="auto" w:fill="auto"/>
            <w:noWrap/>
            <w:vAlign w:val="bottom"/>
            <w:hideMark/>
          </w:tcPr>
          <w:p w14:paraId="7DD53E13" w14:textId="77777777" w:rsidR="008E0C71" w:rsidRPr="008E0C71" w:rsidRDefault="008E0C71" w:rsidP="008E0C71">
            <w:pPr>
              <w:spacing w:after="0"/>
              <w:jc w:val="left"/>
              <w:rPr>
                <w:rFonts w:ascii="Times New Roman" w:eastAsia="Times New Roman" w:hAnsi="Times New Roman" w:cs="Times New Roman"/>
                <w:sz w:val="20"/>
                <w:szCs w:val="20"/>
                <w:lang w:eastAsia="es-ES"/>
              </w:rPr>
            </w:pPr>
          </w:p>
        </w:tc>
        <w:tc>
          <w:tcPr>
            <w:tcW w:w="1575" w:type="dxa"/>
            <w:tcBorders>
              <w:top w:val="nil"/>
              <w:left w:val="nil"/>
              <w:bottom w:val="nil"/>
              <w:right w:val="nil"/>
            </w:tcBorders>
            <w:shd w:val="clear" w:color="auto" w:fill="auto"/>
            <w:noWrap/>
            <w:vAlign w:val="bottom"/>
            <w:hideMark/>
          </w:tcPr>
          <w:p w14:paraId="78BB6060" w14:textId="77777777" w:rsidR="008E0C71" w:rsidRPr="008E0C71" w:rsidRDefault="008E0C71" w:rsidP="008E0C71">
            <w:pPr>
              <w:spacing w:after="0"/>
              <w:jc w:val="left"/>
              <w:rPr>
                <w:rFonts w:ascii="Times New Roman" w:eastAsia="Times New Roman" w:hAnsi="Times New Roman" w:cs="Times New Roman"/>
                <w:sz w:val="20"/>
                <w:szCs w:val="20"/>
                <w:lang w:eastAsia="es-ES"/>
              </w:rPr>
            </w:pPr>
          </w:p>
        </w:tc>
        <w:tc>
          <w:tcPr>
            <w:tcW w:w="2998" w:type="dxa"/>
            <w:gridSpan w:val="3"/>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476D3E48" w14:textId="77777777" w:rsidR="008E0C71" w:rsidRPr="008E0C71" w:rsidRDefault="008E0C71" w:rsidP="008E0C71">
            <w:pPr>
              <w:spacing w:after="0"/>
              <w:rPr>
                <w:rFonts w:ascii="Calibri" w:eastAsia="Times New Roman" w:hAnsi="Calibri" w:cs="Calibri"/>
                <w:b/>
                <w:bCs/>
                <w:color w:val="000000"/>
                <w:sz w:val="22"/>
                <w:szCs w:val="22"/>
                <w:lang w:eastAsia="es-ES"/>
              </w:rPr>
            </w:pPr>
            <w:r w:rsidRPr="008E0C71">
              <w:rPr>
                <w:rFonts w:ascii="Calibri" w:eastAsia="Times New Roman" w:hAnsi="Calibri" w:cs="Calibri"/>
                <w:b/>
                <w:bCs/>
                <w:color w:val="000000"/>
                <w:sz w:val="22"/>
                <w:szCs w:val="22"/>
                <w:lang w:eastAsia="es-ES"/>
              </w:rPr>
              <w:t>Logros Abr - Jun 2022</w:t>
            </w:r>
          </w:p>
        </w:tc>
      </w:tr>
      <w:tr w:rsidR="008E0C71" w:rsidRPr="008E0C71" w14:paraId="19805930" w14:textId="77777777" w:rsidTr="008E0C71">
        <w:trPr>
          <w:trHeight w:val="842"/>
        </w:trPr>
        <w:tc>
          <w:tcPr>
            <w:tcW w:w="2120" w:type="dxa"/>
            <w:tcBorders>
              <w:top w:val="nil"/>
              <w:left w:val="nil"/>
              <w:bottom w:val="nil"/>
              <w:right w:val="nil"/>
            </w:tcBorders>
            <w:shd w:val="clear" w:color="auto" w:fill="auto"/>
            <w:noWrap/>
            <w:vAlign w:val="bottom"/>
            <w:hideMark/>
          </w:tcPr>
          <w:p w14:paraId="73786271" w14:textId="77777777" w:rsidR="008E0C71" w:rsidRPr="008E0C71" w:rsidRDefault="008E0C71" w:rsidP="008E0C71">
            <w:pPr>
              <w:spacing w:after="0"/>
              <w:rPr>
                <w:rFonts w:ascii="Calibri" w:eastAsia="Times New Roman" w:hAnsi="Calibri" w:cs="Calibri"/>
                <w:b/>
                <w:bCs/>
                <w:color w:val="000000"/>
                <w:sz w:val="22"/>
                <w:szCs w:val="22"/>
                <w:lang w:eastAsia="es-ES"/>
              </w:rPr>
            </w:pPr>
          </w:p>
        </w:tc>
        <w:tc>
          <w:tcPr>
            <w:tcW w:w="945" w:type="dxa"/>
            <w:tcBorders>
              <w:top w:val="single" w:sz="8" w:space="0" w:color="auto"/>
              <w:left w:val="single" w:sz="8" w:space="0" w:color="auto"/>
              <w:bottom w:val="single" w:sz="8" w:space="0" w:color="auto"/>
              <w:right w:val="single" w:sz="4" w:space="0" w:color="auto"/>
            </w:tcBorders>
            <w:shd w:val="clear" w:color="000000" w:fill="C6E0B4"/>
            <w:vAlign w:val="center"/>
            <w:hideMark/>
          </w:tcPr>
          <w:p w14:paraId="6C6587E7" w14:textId="77777777" w:rsidR="008E0C71" w:rsidRPr="008E0C71" w:rsidRDefault="008E0C71" w:rsidP="008E0C71">
            <w:pPr>
              <w:spacing w:after="0"/>
              <w:rPr>
                <w:rFonts w:ascii="Calibri" w:eastAsia="Times New Roman" w:hAnsi="Calibri" w:cs="Calibri"/>
                <w:b/>
                <w:bCs/>
                <w:color w:val="000000"/>
                <w:sz w:val="22"/>
                <w:szCs w:val="22"/>
                <w:lang w:eastAsia="es-ES"/>
              </w:rPr>
            </w:pPr>
            <w:r w:rsidRPr="008E0C71">
              <w:rPr>
                <w:rFonts w:ascii="Calibri" w:eastAsia="Times New Roman" w:hAnsi="Calibri" w:cs="Calibri"/>
                <w:b/>
                <w:bCs/>
                <w:color w:val="000000"/>
                <w:sz w:val="22"/>
                <w:szCs w:val="22"/>
                <w:lang w:eastAsia="es-ES"/>
              </w:rPr>
              <w:t>Base 2020</w:t>
            </w:r>
          </w:p>
        </w:tc>
        <w:tc>
          <w:tcPr>
            <w:tcW w:w="945" w:type="dxa"/>
            <w:tcBorders>
              <w:top w:val="single" w:sz="8" w:space="0" w:color="auto"/>
              <w:left w:val="nil"/>
              <w:bottom w:val="single" w:sz="8" w:space="0" w:color="auto"/>
              <w:right w:val="nil"/>
            </w:tcBorders>
            <w:shd w:val="clear" w:color="000000" w:fill="C6E0B4"/>
            <w:vAlign w:val="center"/>
            <w:hideMark/>
          </w:tcPr>
          <w:p w14:paraId="0E1B96B1" w14:textId="77777777" w:rsidR="008E0C71" w:rsidRPr="008E0C71" w:rsidRDefault="008E0C71" w:rsidP="008E0C71">
            <w:pPr>
              <w:spacing w:after="0"/>
              <w:rPr>
                <w:rFonts w:ascii="Calibri" w:eastAsia="Times New Roman" w:hAnsi="Calibri" w:cs="Calibri"/>
                <w:b/>
                <w:bCs/>
                <w:color w:val="000000"/>
                <w:sz w:val="22"/>
                <w:szCs w:val="22"/>
                <w:lang w:eastAsia="es-ES"/>
              </w:rPr>
            </w:pPr>
            <w:r w:rsidRPr="008E0C71">
              <w:rPr>
                <w:rFonts w:ascii="Calibri" w:eastAsia="Times New Roman" w:hAnsi="Calibri" w:cs="Calibri"/>
                <w:b/>
                <w:bCs/>
                <w:color w:val="000000"/>
                <w:sz w:val="22"/>
                <w:szCs w:val="22"/>
                <w:lang w:eastAsia="es-ES"/>
              </w:rPr>
              <w:t>Meta 2022</w:t>
            </w:r>
          </w:p>
        </w:tc>
        <w:tc>
          <w:tcPr>
            <w:tcW w:w="1433"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67A3B478" w14:textId="77777777" w:rsidR="00322658" w:rsidRDefault="008E0C71" w:rsidP="008E0C71">
            <w:pPr>
              <w:spacing w:after="0"/>
              <w:rPr>
                <w:rFonts w:ascii="Calibri" w:eastAsia="Times New Roman" w:hAnsi="Calibri" w:cs="Calibri"/>
                <w:b/>
                <w:bCs/>
                <w:color w:val="000000"/>
                <w:sz w:val="22"/>
                <w:szCs w:val="22"/>
                <w:lang w:eastAsia="es-ES"/>
              </w:rPr>
            </w:pPr>
            <w:r w:rsidRPr="008E0C71">
              <w:rPr>
                <w:rFonts w:ascii="Calibri" w:eastAsia="Times New Roman" w:hAnsi="Calibri" w:cs="Calibri"/>
                <w:b/>
                <w:bCs/>
                <w:color w:val="000000"/>
                <w:sz w:val="22"/>
                <w:szCs w:val="22"/>
                <w:lang w:eastAsia="es-ES"/>
              </w:rPr>
              <w:t xml:space="preserve">Promedio </w:t>
            </w:r>
          </w:p>
          <w:p w14:paraId="5370BBD2" w14:textId="316E1837" w:rsidR="008E0C71" w:rsidRPr="008E0C71" w:rsidRDefault="008E0C71" w:rsidP="008E0C71">
            <w:pPr>
              <w:spacing w:after="0"/>
              <w:rPr>
                <w:rFonts w:ascii="Calibri" w:eastAsia="Times New Roman" w:hAnsi="Calibri" w:cs="Calibri"/>
                <w:b/>
                <w:bCs/>
                <w:color w:val="000000"/>
                <w:sz w:val="22"/>
                <w:szCs w:val="22"/>
                <w:lang w:eastAsia="es-ES"/>
              </w:rPr>
            </w:pPr>
            <w:r w:rsidRPr="008E0C71">
              <w:rPr>
                <w:rFonts w:ascii="Calibri" w:eastAsia="Times New Roman" w:hAnsi="Calibri" w:cs="Calibri"/>
                <w:b/>
                <w:bCs/>
                <w:color w:val="000000"/>
                <w:sz w:val="22"/>
                <w:szCs w:val="22"/>
                <w:lang w:eastAsia="es-ES"/>
              </w:rPr>
              <w:t>Abr - Jun 2022</w:t>
            </w:r>
          </w:p>
        </w:tc>
        <w:tc>
          <w:tcPr>
            <w:tcW w:w="1575" w:type="dxa"/>
            <w:tcBorders>
              <w:top w:val="single" w:sz="8" w:space="0" w:color="auto"/>
              <w:left w:val="nil"/>
              <w:bottom w:val="single" w:sz="8" w:space="0" w:color="auto"/>
              <w:right w:val="nil"/>
            </w:tcBorders>
            <w:shd w:val="clear" w:color="000000" w:fill="2F75B5"/>
            <w:vAlign w:val="bottom"/>
            <w:hideMark/>
          </w:tcPr>
          <w:p w14:paraId="26E257FC" w14:textId="77777777" w:rsidR="008E0C71" w:rsidRPr="008E0C71" w:rsidRDefault="008E0C71" w:rsidP="008E0C71">
            <w:pPr>
              <w:spacing w:after="0"/>
              <w:rPr>
                <w:rFonts w:ascii="Calibri" w:eastAsia="Times New Roman" w:hAnsi="Calibri" w:cs="Calibri"/>
                <w:b/>
                <w:bCs/>
                <w:color w:val="000000"/>
                <w:sz w:val="22"/>
                <w:szCs w:val="22"/>
                <w:lang w:eastAsia="es-ES"/>
              </w:rPr>
            </w:pPr>
            <w:r w:rsidRPr="008E0C71">
              <w:rPr>
                <w:rFonts w:ascii="Calibri" w:eastAsia="Times New Roman" w:hAnsi="Calibri" w:cs="Calibri"/>
                <w:b/>
                <w:bCs/>
                <w:color w:val="000000"/>
                <w:sz w:val="22"/>
                <w:szCs w:val="22"/>
                <w:lang w:eastAsia="es-ES"/>
              </w:rPr>
              <w:t>Desviación Ejecutado vs. Meta</w:t>
            </w:r>
          </w:p>
        </w:tc>
        <w:tc>
          <w:tcPr>
            <w:tcW w:w="945" w:type="dxa"/>
            <w:tcBorders>
              <w:top w:val="nil"/>
              <w:left w:val="single" w:sz="8" w:space="0" w:color="auto"/>
              <w:bottom w:val="nil"/>
              <w:right w:val="single" w:sz="4" w:space="0" w:color="auto"/>
            </w:tcBorders>
            <w:shd w:val="clear" w:color="000000" w:fill="BDD7EE"/>
            <w:noWrap/>
            <w:vAlign w:val="center"/>
            <w:hideMark/>
          </w:tcPr>
          <w:p w14:paraId="54561937" w14:textId="77777777" w:rsidR="008E0C71" w:rsidRPr="008E0C71" w:rsidRDefault="008E0C71" w:rsidP="008E0C71">
            <w:pPr>
              <w:spacing w:after="0"/>
              <w:rPr>
                <w:rFonts w:ascii="Calibri" w:eastAsia="Times New Roman" w:hAnsi="Calibri" w:cs="Calibri"/>
                <w:b/>
                <w:bCs/>
                <w:color w:val="000000"/>
                <w:sz w:val="22"/>
                <w:szCs w:val="22"/>
                <w:lang w:eastAsia="es-ES"/>
              </w:rPr>
            </w:pPr>
            <w:r w:rsidRPr="008E0C71">
              <w:rPr>
                <w:rFonts w:ascii="Calibri" w:eastAsia="Times New Roman" w:hAnsi="Calibri" w:cs="Calibri"/>
                <w:b/>
                <w:bCs/>
                <w:color w:val="000000"/>
                <w:sz w:val="22"/>
                <w:szCs w:val="22"/>
                <w:lang w:eastAsia="es-ES"/>
              </w:rPr>
              <w:t>Abr</w:t>
            </w:r>
          </w:p>
        </w:tc>
        <w:tc>
          <w:tcPr>
            <w:tcW w:w="1099" w:type="dxa"/>
            <w:tcBorders>
              <w:top w:val="nil"/>
              <w:left w:val="nil"/>
              <w:bottom w:val="nil"/>
              <w:right w:val="single" w:sz="4" w:space="0" w:color="auto"/>
            </w:tcBorders>
            <w:shd w:val="clear" w:color="000000" w:fill="BDD7EE"/>
            <w:noWrap/>
            <w:vAlign w:val="center"/>
            <w:hideMark/>
          </w:tcPr>
          <w:p w14:paraId="06123571" w14:textId="77777777" w:rsidR="008E0C71" w:rsidRPr="008E0C71" w:rsidRDefault="008E0C71" w:rsidP="008E0C71">
            <w:pPr>
              <w:spacing w:after="0"/>
              <w:rPr>
                <w:rFonts w:ascii="Calibri" w:eastAsia="Times New Roman" w:hAnsi="Calibri" w:cs="Calibri"/>
                <w:b/>
                <w:bCs/>
                <w:color w:val="000000"/>
                <w:sz w:val="22"/>
                <w:szCs w:val="22"/>
                <w:lang w:eastAsia="es-ES"/>
              </w:rPr>
            </w:pPr>
            <w:r w:rsidRPr="008E0C71">
              <w:rPr>
                <w:rFonts w:ascii="Calibri" w:eastAsia="Times New Roman" w:hAnsi="Calibri" w:cs="Calibri"/>
                <w:b/>
                <w:bCs/>
                <w:color w:val="000000"/>
                <w:sz w:val="22"/>
                <w:szCs w:val="22"/>
                <w:lang w:eastAsia="es-ES"/>
              </w:rPr>
              <w:t>May</w:t>
            </w:r>
          </w:p>
        </w:tc>
        <w:tc>
          <w:tcPr>
            <w:tcW w:w="953" w:type="dxa"/>
            <w:tcBorders>
              <w:top w:val="nil"/>
              <w:left w:val="nil"/>
              <w:bottom w:val="nil"/>
              <w:right w:val="single" w:sz="8" w:space="0" w:color="auto"/>
            </w:tcBorders>
            <w:shd w:val="clear" w:color="000000" w:fill="BDD7EE"/>
            <w:noWrap/>
            <w:vAlign w:val="center"/>
            <w:hideMark/>
          </w:tcPr>
          <w:p w14:paraId="0398D718" w14:textId="77777777" w:rsidR="008E0C71" w:rsidRPr="008E0C71" w:rsidRDefault="008E0C71" w:rsidP="008E0C71">
            <w:pPr>
              <w:spacing w:after="0"/>
              <w:rPr>
                <w:rFonts w:ascii="Calibri" w:eastAsia="Times New Roman" w:hAnsi="Calibri" w:cs="Calibri"/>
                <w:b/>
                <w:bCs/>
                <w:color w:val="000000"/>
                <w:sz w:val="22"/>
                <w:szCs w:val="22"/>
                <w:lang w:eastAsia="es-ES"/>
              </w:rPr>
            </w:pPr>
            <w:r w:rsidRPr="008E0C71">
              <w:rPr>
                <w:rFonts w:ascii="Calibri" w:eastAsia="Times New Roman" w:hAnsi="Calibri" w:cs="Calibri"/>
                <w:b/>
                <w:bCs/>
                <w:color w:val="000000"/>
                <w:sz w:val="22"/>
                <w:szCs w:val="22"/>
                <w:lang w:eastAsia="es-ES"/>
              </w:rPr>
              <w:t>Jun</w:t>
            </w:r>
          </w:p>
        </w:tc>
      </w:tr>
      <w:tr w:rsidR="008E0C71" w:rsidRPr="008E0C71" w14:paraId="1DA3DBB4" w14:textId="77777777" w:rsidTr="008E0C71">
        <w:trPr>
          <w:trHeight w:val="288"/>
        </w:trPr>
        <w:tc>
          <w:tcPr>
            <w:tcW w:w="2120" w:type="dxa"/>
            <w:tcBorders>
              <w:top w:val="nil"/>
              <w:left w:val="nil"/>
              <w:bottom w:val="nil"/>
              <w:right w:val="nil"/>
            </w:tcBorders>
            <w:shd w:val="clear" w:color="auto" w:fill="auto"/>
            <w:noWrap/>
            <w:vAlign w:val="bottom"/>
            <w:hideMark/>
          </w:tcPr>
          <w:p w14:paraId="6BEA3304" w14:textId="77777777" w:rsidR="008E0C71" w:rsidRPr="008E0C71" w:rsidRDefault="008E0C71" w:rsidP="008E0C71">
            <w:pPr>
              <w:spacing w:after="0"/>
              <w:jc w:val="left"/>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EDENORTE</w:t>
            </w:r>
          </w:p>
        </w:tc>
        <w:tc>
          <w:tcPr>
            <w:tcW w:w="945" w:type="dxa"/>
            <w:tcBorders>
              <w:top w:val="nil"/>
              <w:left w:val="single" w:sz="8" w:space="0" w:color="auto"/>
              <w:bottom w:val="single" w:sz="4" w:space="0" w:color="auto"/>
              <w:right w:val="single" w:sz="4" w:space="0" w:color="auto"/>
            </w:tcBorders>
            <w:shd w:val="clear" w:color="auto" w:fill="auto"/>
            <w:noWrap/>
            <w:vAlign w:val="bottom"/>
            <w:hideMark/>
          </w:tcPr>
          <w:p w14:paraId="12B42395"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96,5%</w:t>
            </w:r>
          </w:p>
        </w:tc>
        <w:tc>
          <w:tcPr>
            <w:tcW w:w="945" w:type="dxa"/>
            <w:tcBorders>
              <w:top w:val="nil"/>
              <w:left w:val="nil"/>
              <w:bottom w:val="single" w:sz="4" w:space="0" w:color="auto"/>
              <w:right w:val="nil"/>
            </w:tcBorders>
            <w:shd w:val="clear" w:color="auto" w:fill="auto"/>
            <w:noWrap/>
            <w:vAlign w:val="bottom"/>
            <w:hideMark/>
          </w:tcPr>
          <w:p w14:paraId="23C5B9D0"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96,0%</w:t>
            </w:r>
          </w:p>
        </w:tc>
        <w:tc>
          <w:tcPr>
            <w:tcW w:w="1433" w:type="dxa"/>
            <w:tcBorders>
              <w:top w:val="nil"/>
              <w:left w:val="single" w:sz="8" w:space="0" w:color="auto"/>
              <w:bottom w:val="single" w:sz="4" w:space="0" w:color="auto"/>
              <w:right w:val="single" w:sz="8" w:space="0" w:color="auto"/>
            </w:tcBorders>
            <w:shd w:val="clear" w:color="auto" w:fill="auto"/>
            <w:noWrap/>
            <w:vAlign w:val="bottom"/>
            <w:hideMark/>
          </w:tcPr>
          <w:p w14:paraId="73761A41"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86,5%</w:t>
            </w:r>
          </w:p>
        </w:tc>
        <w:tc>
          <w:tcPr>
            <w:tcW w:w="1575" w:type="dxa"/>
            <w:tcBorders>
              <w:top w:val="nil"/>
              <w:left w:val="nil"/>
              <w:bottom w:val="single" w:sz="4" w:space="0" w:color="auto"/>
              <w:right w:val="nil"/>
            </w:tcBorders>
            <w:shd w:val="clear" w:color="auto" w:fill="auto"/>
            <w:noWrap/>
            <w:vAlign w:val="bottom"/>
            <w:hideMark/>
          </w:tcPr>
          <w:p w14:paraId="14DA2A93"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-9,5%</w:t>
            </w:r>
          </w:p>
        </w:tc>
        <w:tc>
          <w:tcPr>
            <w:tcW w:w="9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09FFFBB"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81,5%</w:t>
            </w:r>
          </w:p>
        </w:tc>
        <w:tc>
          <w:tcPr>
            <w:tcW w:w="1099" w:type="dxa"/>
            <w:tcBorders>
              <w:top w:val="single" w:sz="8" w:space="0" w:color="auto"/>
              <w:left w:val="nil"/>
              <w:bottom w:val="single" w:sz="4" w:space="0" w:color="auto"/>
              <w:right w:val="single" w:sz="4" w:space="0" w:color="auto"/>
            </w:tcBorders>
            <w:shd w:val="clear" w:color="auto" w:fill="auto"/>
            <w:noWrap/>
            <w:vAlign w:val="bottom"/>
            <w:hideMark/>
          </w:tcPr>
          <w:p w14:paraId="6522507E"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90,6%</w:t>
            </w:r>
          </w:p>
        </w:tc>
        <w:tc>
          <w:tcPr>
            <w:tcW w:w="953" w:type="dxa"/>
            <w:tcBorders>
              <w:top w:val="single" w:sz="8" w:space="0" w:color="auto"/>
              <w:left w:val="nil"/>
              <w:bottom w:val="single" w:sz="4" w:space="0" w:color="auto"/>
              <w:right w:val="single" w:sz="8" w:space="0" w:color="auto"/>
            </w:tcBorders>
            <w:shd w:val="clear" w:color="auto" w:fill="auto"/>
            <w:noWrap/>
            <w:vAlign w:val="bottom"/>
            <w:hideMark/>
          </w:tcPr>
          <w:p w14:paraId="7076EE60"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87,4%</w:t>
            </w:r>
          </w:p>
        </w:tc>
      </w:tr>
      <w:tr w:rsidR="008E0C71" w:rsidRPr="008E0C71" w14:paraId="767258BB" w14:textId="77777777" w:rsidTr="008E0C71">
        <w:trPr>
          <w:trHeight w:val="288"/>
        </w:trPr>
        <w:tc>
          <w:tcPr>
            <w:tcW w:w="2120" w:type="dxa"/>
            <w:tcBorders>
              <w:top w:val="nil"/>
              <w:left w:val="nil"/>
              <w:bottom w:val="nil"/>
              <w:right w:val="nil"/>
            </w:tcBorders>
            <w:shd w:val="clear" w:color="auto" w:fill="auto"/>
            <w:noWrap/>
            <w:vAlign w:val="bottom"/>
            <w:hideMark/>
          </w:tcPr>
          <w:p w14:paraId="32304190" w14:textId="77777777" w:rsidR="008E0C71" w:rsidRPr="008E0C71" w:rsidRDefault="008E0C71" w:rsidP="008E0C71">
            <w:pPr>
              <w:spacing w:after="0"/>
              <w:jc w:val="left"/>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EDESUR</w:t>
            </w:r>
          </w:p>
        </w:tc>
        <w:tc>
          <w:tcPr>
            <w:tcW w:w="945" w:type="dxa"/>
            <w:tcBorders>
              <w:top w:val="nil"/>
              <w:left w:val="single" w:sz="8" w:space="0" w:color="auto"/>
              <w:bottom w:val="single" w:sz="4" w:space="0" w:color="auto"/>
              <w:right w:val="single" w:sz="4" w:space="0" w:color="auto"/>
            </w:tcBorders>
            <w:shd w:val="clear" w:color="auto" w:fill="auto"/>
            <w:noWrap/>
            <w:vAlign w:val="bottom"/>
            <w:hideMark/>
          </w:tcPr>
          <w:p w14:paraId="004FFB7F"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93,9%</w:t>
            </w:r>
          </w:p>
        </w:tc>
        <w:tc>
          <w:tcPr>
            <w:tcW w:w="945" w:type="dxa"/>
            <w:tcBorders>
              <w:top w:val="nil"/>
              <w:left w:val="nil"/>
              <w:bottom w:val="single" w:sz="4" w:space="0" w:color="auto"/>
              <w:right w:val="nil"/>
            </w:tcBorders>
            <w:shd w:val="clear" w:color="auto" w:fill="auto"/>
            <w:noWrap/>
            <w:vAlign w:val="bottom"/>
            <w:hideMark/>
          </w:tcPr>
          <w:p w14:paraId="176FE3DF"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96,0%</w:t>
            </w:r>
          </w:p>
        </w:tc>
        <w:tc>
          <w:tcPr>
            <w:tcW w:w="14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A85A659"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92,1%</w:t>
            </w:r>
          </w:p>
        </w:tc>
        <w:tc>
          <w:tcPr>
            <w:tcW w:w="1575" w:type="dxa"/>
            <w:tcBorders>
              <w:top w:val="nil"/>
              <w:left w:val="nil"/>
              <w:bottom w:val="single" w:sz="4" w:space="0" w:color="auto"/>
              <w:right w:val="nil"/>
            </w:tcBorders>
            <w:shd w:val="clear" w:color="auto" w:fill="auto"/>
            <w:noWrap/>
            <w:vAlign w:val="bottom"/>
            <w:hideMark/>
          </w:tcPr>
          <w:p w14:paraId="344B7F5A"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-3,9%</w:t>
            </w:r>
          </w:p>
        </w:tc>
        <w:tc>
          <w:tcPr>
            <w:tcW w:w="945" w:type="dxa"/>
            <w:tcBorders>
              <w:top w:val="nil"/>
              <w:left w:val="single" w:sz="8" w:space="0" w:color="auto"/>
              <w:bottom w:val="single" w:sz="4" w:space="0" w:color="auto"/>
              <w:right w:val="single" w:sz="4" w:space="0" w:color="auto"/>
            </w:tcBorders>
            <w:shd w:val="clear" w:color="auto" w:fill="auto"/>
            <w:noWrap/>
            <w:vAlign w:val="bottom"/>
            <w:hideMark/>
          </w:tcPr>
          <w:p w14:paraId="4F6175A3"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87,5%</w:t>
            </w:r>
          </w:p>
        </w:tc>
        <w:tc>
          <w:tcPr>
            <w:tcW w:w="1099" w:type="dxa"/>
            <w:tcBorders>
              <w:top w:val="nil"/>
              <w:left w:val="nil"/>
              <w:bottom w:val="single" w:sz="4" w:space="0" w:color="auto"/>
              <w:right w:val="single" w:sz="4" w:space="0" w:color="auto"/>
            </w:tcBorders>
            <w:shd w:val="clear" w:color="auto" w:fill="auto"/>
            <w:noWrap/>
            <w:vAlign w:val="bottom"/>
            <w:hideMark/>
          </w:tcPr>
          <w:p w14:paraId="68EAD52A"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101,6%</w:t>
            </w:r>
          </w:p>
        </w:tc>
        <w:tc>
          <w:tcPr>
            <w:tcW w:w="953" w:type="dxa"/>
            <w:tcBorders>
              <w:top w:val="nil"/>
              <w:left w:val="nil"/>
              <w:bottom w:val="single" w:sz="4" w:space="0" w:color="auto"/>
              <w:right w:val="single" w:sz="8" w:space="0" w:color="auto"/>
            </w:tcBorders>
            <w:shd w:val="clear" w:color="auto" w:fill="auto"/>
            <w:noWrap/>
            <w:vAlign w:val="bottom"/>
            <w:hideMark/>
          </w:tcPr>
          <w:p w14:paraId="14009C21"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87,1%</w:t>
            </w:r>
          </w:p>
        </w:tc>
      </w:tr>
      <w:tr w:rsidR="008E0C71" w:rsidRPr="008E0C71" w14:paraId="66624E24" w14:textId="77777777" w:rsidTr="008E0C71">
        <w:trPr>
          <w:trHeight w:val="288"/>
        </w:trPr>
        <w:tc>
          <w:tcPr>
            <w:tcW w:w="2120" w:type="dxa"/>
            <w:tcBorders>
              <w:top w:val="nil"/>
              <w:left w:val="nil"/>
              <w:bottom w:val="nil"/>
              <w:right w:val="nil"/>
            </w:tcBorders>
            <w:shd w:val="clear" w:color="auto" w:fill="auto"/>
            <w:noWrap/>
            <w:vAlign w:val="bottom"/>
            <w:hideMark/>
          </w:tcPr>
          <w:p w14:paraId="1BC2E75C" w14:textId="77777777" w:rsidR="008E0C71" w:rsidRPr="008E0C71" w:rsidRDefault="008E0C71" w:rsidP="008E0C71">
            <w:pPr>
              <w:spacing w:after="0"/>
              <w:jc w:val="left"/>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EDEESTE</w:t>
            </w:r>
          </w:p>
        </w:tc>
        <w:tc>
          <w:tcPr>
            <w:tcW w:w="945" w:type="dxa"/>
            <w:tcBorders>
              <w:top w:val="nil"/>
              <w:left w:val="single" w:sz="8" w:space="0" w:color="auto"/>
              <w:bottom w:val="single" w:sz="8" w:space="0" w:color="auto"/>
              <w:right w:val="single" w:sz="4" w:space="0" w:color="auto"/>
            </w:tcBorders>
            <w:shd w:val="clear" w:color="auto" w:fill="auto"/>
            <w:noWrap/>
            <w:vAlign w:val="bottom"/>
            <w:hideMark/>
          </w:tcPr>
          <w:p w14:paraId="1F327DC7"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92,6%</w:t>
            </w:r>
          </w:p>
        </w:tc>
        <w:tc>
          <w:tcPr>
            <w:tcW w:w="945" w:type="dxa"/>
            <w:tcBorders>
              <w:top w:val="nil"/>
              <w:left w:val="nil"/>
              <w:bottom w:val="single" w:sz="8" w:space="0" w:color="auto"/>
              <w:right w:val="nil"/>
            </w:tcBorders>
            <w:shd w:val="clear" w:color="auto" w:fill="auto"/>
            <w:noWrap/>
            <w:vAlign w:val="bottom"/>
            <w:hideMark/>
          </w:tcPr>
          <w:p w14:paraId="6F100E76"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96,0%</w:t>
            </w:r>
          </w:p>
        </w:tc>
        <w:tc>
          <w:tcPr>
            <w:tcW w:w="14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607B688"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73,6%</w:t>
            </w:r>
          </w:p>
        </w:tc>
        <w:tc>
          <w:tcPr>
            <w:tcW w:w="1575" w:type="dxa"/>
            <w:tcBorders>
              <w:top w:val="nil"/>
              <w:left w:val="nil"/>
              <w:bottom w:val="single" w:sz="8" w:space="0" w:color="auto"/>
              <w:right w:val="nil"/>
            </w:tcBorders>
            <w:shd w:val="clear" w:color="auto" w:fill="auto"/>
            <w:noWrap/>
            <w:vAlign w:val="bottom"/>
            <w:hideMark/>
          </w:tcPr>
          <w:p w14:paraId="00F26E61"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-22,4%</w:t>
            </w:r>
          </w:p>
        </w:tc>
        <w:tc>
          <w:tcPr>
            <w:tcW w:w="945" w:type="dxa"/>
            <w:tcBorders>
              <w:top w:val="nil"/>
              <w:left w:val="single" w:sz="8" w:space="0" w:color="auto"/>
              <w:bottom w:val="single" w:sz="8" w:space="0" w:color="auto"/>
              <w:right w:val="single" w:sz="4" w:space="0" w:color="auto"/>
            </w:tcBorders>
            <w:shd w:val="clear" w:color="auto" w:fill="auto"/>
            <w:noWrap/>
            <w:vAlign w:val="bottom"/>
            <w:hideMark/>
          </w:tcPr>
          <w:p w14:paraId="6F813316"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69,6%</w:t>
            </w:r>
          </w:p>
        </w:tc>
        <w:tc>
          <w:tcPr>
            <w:tcW w:w="1099" w:type="dxa"/>
            <w:tcBorders>
              <w:top w:val="nil"/>
              <w:left w:val="nil"/>
              <w:bottom w:val="single" w:sz="8" w:space="0" w:color="auto"/>
              <w:right w:val="single" w:sz="4" w:space="0" w:color="auto"/>
            </w:tcBorders>
            <w:shd w:val="clear" w:color="auto" w:fill="auto"/>
            <w:noWrap/>
            <w:vAlign w:val="bottom"/>
            <w:hideMark/>
          </w:tcPr>
          <w:p w14:paraId="4A91C782"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78,5%</w:t>
            </w:r>
          </w:p>
        </w:tc>
        <w:tc>
          <w:tcPr>
            <w:tcW w:w="953" w:type="dxa"/>
            <w:tcBorders>
              <w:top w:val="nil"/>
              <w:left w:val="nil"/>
              <w:bottom w:val="single" w:sz="8" w:space="0" w:color="auto"/>
              <w:right w:val="single" w:sz="8" w:space="0" w:color="auto"/>
            </w:tcBorders>
            <w:shd w:val="clear" w:color="auto" w:fill="auto"/>
            <w:noWrap/>
            <w:vAlign w:val="bottom"/>
            <w:hideMark/>
          </w:tcPr>
          <w:p w14:paraId="559F96A0"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72,6%</w:t>
            </w:r>
          </w:p>
        </w:tc>
      </w:tr>
      <w:tr w:rsidR="008E0C71" w:rsidRPr="008E0C71" w14:paraId="65E125E7" w14:textId="77777777" w:rsidTr="008E0C71">
        <w:trPr>
          <w:trHeight w:val="288"/>
        </w:trPr>
        <w:tc>
          <w:tcPr>
            <w:tcW w:w="2120" w:type="dxa"/>
            <w:tcBorders>
              <w:top w:val="nil"/>
              <w:left w:val="nil"/>
              <w:bottom w:val="nil"/>
              <w:right w:val="nil"/>
            </w:tcBorders>
            <w:shd w:val="clear" w:color="auto" w:fill="auto"/>
            <w:noWrap/>
            <w:vAlign w:val="bottom"/>
            <w:hideMark/>
          </w:tcPr>
          <w:p w14:paraId="645CA8FF" w14:textId="77777777" w:rsidR="008E0C71" w:rsidRPr="008E0C71" w:rsidRDefault="008E0C71" w:rsidP="008E0C71">
            <w:pPr>
              <w:spacing w:after="0"/>
              <w:jc w:val="left"/>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Promedio</w:t>
            </w:r>
          </w:p>
        </w:tc>
        <w:tc>
          <w:tcPr>
            <w:tcW w:w="945" w:type="dxa"/>
            <w:tcBorders>
              <w:top w:val="nil"/>
              <w:left w:val="single" w:sz="8" w:space="0" w:color="auto"/>
              <w:bottom w:val="single" w:sz="8" w:space="0" w:color="auto"/>
              <w:right w:val="single" w:sz="4" w:space="0" w:color="auto"/>
            </w:tcBorders>
            <w:shd w:val="clear" w:color="auto" w:fill="auto"/>
            <w:noWrap/>
            <w:vAlign w:val="bottom"/>
            <w:hideMark/>
          </w:tcPr>
          <w:p w14:paraId="51CC2A62"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94,4%</w:t>
            </w:r>
          </w:p>
        </w:tc>
        <w:tc>
          <w:tcPr>
            <w:tcW w:w="945" w:type="dxa"/>
            <w:tcBorders>
              <w:top w:val="nil"/>
              <w:left w:val="nil"/>
              <w:bottom w:val="single" w:sz="8" w:space="0" w:color="auto"/>
              <w:right w:val="nil"/>
            </w:tcBorders>
            <w:shd w:val="clear" w:color="auto" w:fill="auto"/>
            <w:noWrap/>
            <w:vAlign w:val="bottom"/>
            <w:hideMark/>
          </w:tcPr>
          <w:p w14:paraId="2082D316"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96,0%</w:t>
            </w:r>
          </w:p>
        </w:tc>
        <w:tc>
          <w:tcPr>
            <w:tcW w:w="14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5E8B288"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84,0%</w:t>
            </w:r>
          </w:p>
        </w:tc>
        <w:tc>
          <w:tcPr>
            <w:tcW w:w="1575" w:type="dxa"/>
            <w:tcBorders>
              <w:top w:val="nil"/>
              <w:left w:val="nil"/>
              <w:bottom w:val="single" w:sz="8" w:space="0" w:color="auto"/>
              <w:right w:val="nil"/>
            </w:tcBorders>
            <w:shd w:val="clear" w:color="auto" w:fill="auto"/>
            <w:noWrap/>
            <w:vAlign w:val="bottom"/>
            <w:hideMark/>
          </w:tcPr>
          <w:p w14:paraId="5B15E671"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-12,0%</w:t>
            </w:r>
          </w:p>
        </w:tc>
        <w:tc>
          <w:tcPr>
            <w:tcW w:w="945" w:type="dxa"/>
            <w:tcBorders>
              <w:top w:val="nil"/>
              <w:left w:val="single" w:sz="8" w:space="0" w:color="auto"/>
              <w:bottom w:val="single" w:sz="8" w:space="0" w:color="auto"/>
              <w:right w:val="single" w:sz="4" w:space="0" w:color="auto"/>
            </w:tcBorders>
            <w:shd w:val="clear" w:color="auto" w:fill="auto"/>
            <w:noWrap/>
            <w:vAlign w:val="bottom"/>
            <w:hideMark/>
          </w:tcPr>
          <w:p w14:paraId="7236717D"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79,5%</w:t>
            </w:r>
          </w:p>
        </w:tc>
        <w:tc>
          <w:tcPr>
            <w:tcW w:w="1099" w:type="dxa"/>
            <w:tcBorders>
              <w:top w:val="nil"/>
              <w:left w:val="single" w:sz="8" w:space="0" w:color="auto"/>
              <w:bottom w:val="single" w:sz="8" w:space="0" w:color="auto"/>
              <w:right w:val="single" w:sz="4" w:space="0" w:color="auto"/>
            </w:tcBorders>
            <w:shd w:val="clear" w:color="auto" w:fill="auto"/>
            <w:noWrap/>
            <w:vAlign w:val="bottom"/>
            <w:hideMark/>
          </w:tcPr>
          <w:p w14:paraId="2DACAC97"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90,2%</w:t>
            </w:r>
          </w:p>
        </w:tc>
        <w:tc>
          <w:tcPr>
            <w:tcW w:w="953" w:type="dxa"/>
            <w:tcBorders>
              <w:top w:val="nil"/>
              <w:left w:val="single" w:sz="8" w:space="0" w:color="auto"/>
              <w:bottom w:val="single" w:sz="8" w:space="0" w:color="auto"/>
              <w:right w:val="single" w:sz="4" w:space="0" w:color="auto"/>
            </w:tcBorders>
            <w:shd w:val="clear" w:color="auto" w:fill="auto"/>
            <w:noWrap/>
            <w:vAlign w:val="bottom"/>
            <w:hideMark/>
          </w:tcPr>
          <w:p w14:paraId="5465F126" w14:textId="77777777" w:rsidR="008E0C71" w:rsidRPr="008E0C71" w:rsidRDefault="008E0C71" w:rsidP="008E0C71">
            <w:pPr>
              <w:spacing w:after="0"/>
              <w:rPr>
                <w:rFonts w:ascii="Calibri" w:eastAsia="Times New Roman" w:hAnsi="Calibri" w:cs="Calibri"/>
                <w:color w:val="000000"/>
                <w:sz w:val="22"/>
                <w:szCs w:val="22"/>
                <w:lang w:eastAsia="es-ES"/>
              </w:rPr>
            </w:pPr>
            <w:r w:rsidRPr="008E0C71">
              <w:rPr>
                <w:rFonts w:ascii="Calibri" w:eastAsia="Times New Roman" w:hAnsi="Calibri" w:cs="Calibri"/>
                <w:color w:val="000000"/>
                <w:sz w:val="22"/>
                <w:szCs w:val="22"/>
                <w:lang w:eastAsia="es-ES"/>
              </w:rPr>
              <w:t>82,4%</w:t>
            </w:r>
          </w:p>
        </w:tc>
      </w:tr>
    </w:tbl>
    <w:p w14:paraId="15238CD0" w14:textId="77777777" w:rsidR="00461C5B" w:rsidRDefault="00461C5B" w:rsidP="00461C5B">
      <w:pPr>
        <w:jc w:val="both"/>
        <w:rPr>
          <w:rFonts w:ascii="Arial Narrow" w:hAnsi="Arial Narrow" w:cs="Arial"/>
          <w:sz w:val="26"/>
          <w:szCs w:val="26"/>
        </w:rPr>
      </w:pPr>
    </w:p>
    <w:p w14:paraId="13106546" w14:textId="54DF3A42" w:rsidR="00B55410" w:rsidRDefault="00D66B11" w:rsidP="00B55410">
      <w:pPr>
        <w:jc w:val="both"/>
        <w:rPr>
          <w:rFonts w:ascii="Arial Narrow" w:hAnsi="Arial Narrow" w:cs="Arial"/>
          <w:sz w:val="26"/>
          <w:szCs w:val="26"/>
        </w:rPr>
      </w:pPr>
      <w:r>
        <w:rPr>
          <w:rFonts w:ascii="Arial Narrow" w:hAnsi="Arial Narrow" w:cs="Arial"/>
          <w:sz w:val="26"/>
          <w:szCs w:val="26"/>
        </w:rPr>
        <w:t>A</w:t>
      </w:r>
      <w:r w:rsidR="00B55410">
        <w:rPr>
          <w:rFonts w:ascii="Arial Narrow" w:hAnsi="Arial Narrow" w:cs="Arial"/>
          <w:sz w:val="26"/>
          <w:szCs w:val="26"/>
        </w:rPr>
        <w:t>l finalizar el año 202</w:t>
      </w:r>
      <w:r>
        <w:rPr>
          <w:rFonts w:ascii="Arial Narrow" w:hAnsi="Arial Narrow" w:cs="Arial"/>
          <w:sz w:val="26"/>
          <w:szCs w:val="26"/>
        </w:rPr>
        <w:t>2 se espera que las</w:t>
      </w:r>
      <w:r w:rsidR="00B55410">
        <w:rPr>
          <w:rFonts w:ascii="Arial Narrow" w:hAnsi="Arial Narrow" w:cs="Arial"/>
          <w:sz w:val="26"/>
          <w:szCs w:val="26"/>
        </w:rPr>
        <w:t xml:space="preserve"> Empresas Distribuidoras tengan un nivel de cobranzas de 96%. A </w:t>
      </w:r>
      <w:r w:rsidR="008E0C71">
        <w:rPr>
          <w:rFonts w:ascii="Arial Narrow" w:hAnsi="Arial Narrow" w:cs="Arial"/>
          <w:sz w:val="26"/>
          <w:szCs w:val="26"/>
        </w:rPr>
        <w:t>junio</w:t>
      </w:r>
      <w:r w:rsidR="00B55410">
        <w:rPr>
          <w:rFonts w:ascii="Arial Narrow" w:hAnsi="Arial Narrow" w:cs="Arial"/>
          <w:sz w:val="26"/>
          <w:szCs w:val="26"/>
        </w:rPr>
        <w:t xml:space="preserve">, EDENORTE tiene un nivel de cobranzas </w:t>
      </w:r>
      <w:r w:rsidR="00F166D5">
        <w:rPr>
          <w:rFonts w:ascii="Arial Narrow" w:hAnsi="Arial Narrow" w:cs="Arial"/>
          <w:sz w:val="26"/>
          <w:szCs w:val="26"/>
        </w:rPr>
        <w:t xml:space="preserve">promedio para el segundo trimestre </w:t>
      </w:r>
      <w:r w:rsidR="00B55410">
        <w:rPr>
          <w:rFonts w:ascii="Arial Narrow" w:hAnsi="Arial Narrow" w:cs="Arial"/>
          <w:sz w:val="26"/>
          <w:szCs w:val="26"/>
        </w:rPr>
        <w:t xml:space="preserve">de </w:t>
      </w:r>
      <w:r w:rsidR="008E0C71">
        <w:rPr>
          <w:rFonts w:ascii="Arial Narrow" w:hAnsi="Arial Narrow" w:cs="Arial"/>
          <w:sz w:val="26"/>
          <w:szCs w:val="26"/>
        </w:rPr>
        <w:t>86</w:t>
      </w:r>
      <w:r>
        <w:rPr>
          <w:rFonts w:ascii="Arial Narrow" w:hAnsi="Arial Narrow" w:cs="Arial"/>
          <w:sz w:val="26"/>
          <w:szCs w:val="26"/>
        </w:rPr>
        <w:t>,</w:t>
      </w:r>
      <w:r w:rsidR="008E0C71">
        <w:rPr>
          <w:rFonts w:ascii="Arial Narrow" w:hAnsi="Arial Narrow" w:cs="Arial"/>
          <w:sz w:val="26"/>
          <w:szCs w:val="26"/>
        </w:rPr>
        <w:t>5</w:t>
      </w:r>
      <w:r w:rsidR="00B55410">
        <w:rPr>
          <w:rFonts w:ascii="Arial Narrow" w:hAnsi="Arial Narrow" w:cs="Arial"/>
          <w:sz w:val="26"/>
          <w:szCs w:val="26"/>
        </w:rPr>
        <w:t>%, mientras que EDESUR ha alcanzado 9</w:t>
      </w:r>
      <w:r w:rsidR="00F166D5">
        <w:rPr>
          <w:rFonts w:ascii="Arial Narrow" w:hAnsi="Arial Narrow" w:cs="Arial"/>
          <w:sz w:val="26"/>
          <w:szCs w:val="26"/>
        </w:rPr>
        <w:t>2</w:t>
      </w:r>
      <w:r w:rsidR="00B55410">
        <w:rPr>
          <w:rFonts w:ascii="Arial Narrow" w:hAnsi="Arial Narrow" w:cs="Arial"/>
          <w:sz w:val="26"/>
          <w:szCs w:val="26"/>
        </w:rPr>
        <w:t>.</w:t>
      </w:r>
      <w:r w:rsidR="00F166D5">
        <w:rPr>
          <w:rFonts w:ascii="Arial Narrow" w:hAnsi="Arial Narrow" w:cs="Arial"/>
          <w:sz w:val="26"/>
          <w:szCs w:val="26"/>
        </w:rPr>
        <w:t>1</w:t>
      </w:r>
      <w:r w:rsidR="00B55410">
        <w:rPr>
          <w:rFonts w:ascii="Arial Narrow" w:hAnsi="Arial Narrow" w:cs="Arial"/>
          <w:sz w:val="26"/>
          <w:szCs w:val="26"/>
        </w:rPr>
        <w:t xml:space="preserve">%. Por último, EDEESTE ha promediado </w:t>
      </w:r>
      <w:r w:rsidR="001B4488">
        <w:rPr>
          <w:rFonts w:ascii="Arial Narrow" w:hAnsi="Arial Narrow" w:cs="Arial"/>
          <w:sz w:val="26"/>
          <w:szCs w:val="26"/>
        </w:rPr>
        <w:t>7</w:t>
      </w:r>
      <w:r w:rsidR="00F166D5">
        <w:rPr>
          <w:rFonts w:ascii="Arial Narrow" w:hAnsi="Arial Narrow" w:cs="Arial"/>
          <w:sz w:val="26"/>
          <w:szCs w:val="26"/>
        </w:rPr>
        <w:t>3</w:t>
      </w:r>
      <w:r w:rsidR="001B4488">
        <w:rPr>
          <w:rFonts w:ascii="Arial Narrow" w:hAnsi="Arial Narrow" w:cs="Arial"/>
          <w:sz w:val="26"/>
          <w:szCs w:val="26"/>
        </w:rPr>
        <w:t>.</w:t>
      </w:r>
      <w:r w:rsidR="00F166D5">
        <w:rPr>
          <w:rFonts w:ascii="Arial Narrow" w:hAnsi="Arial Narrow" w:cs="Arial"/>
          <w:sz w:val="26"/>
          <w:szCs w:val="26"/>
        </w:rPr>
        <w:t>6</w:t>
      </w:r>
      <w:r w:rsidR="00B55410">
        <w:rPr>
          <w:rFonts w:ascii="Arial Narrow" w:hAnsi="Arial Narrow" w:cs="Arial"/>
          <w:sz w:val="26"/>
          <w:szCs w:val="26"/>
        </w:rPr>
        <w:t xml:space="preserve">%, para un promedio general de </w:t>
      </w:r>
      <w:r w:rsidR="00F166D5">
        <w:rPr>
          <w:rFonts w:ascii="Arial Narrow" w:hAnsi="Arial Narrow" w:cs="Arial"/>
          <w:sz w:val="26"/>
          <w:szCs w:val="26"/>
        </w:rPr>
        <w:t>84</w:t>
      </w:r>
      <w:r w:rsidR="00B55410">
        <w:rPr>
          <w:rFonts w:ascii="Arial Narrow" w:hAnsi="Arial Narrow" w:cs="Arial"/>
          <w:sz w:val="26"/>
          <w:szCs w:val="26"/>
        </w:rPr>
        <w:t>.</w:t>
      </w:r>
      <w:r w:rsidR="00F166D5">
        <w:rPr>
          <w:rFonts w:ascii="Arial Narrow" w:hAnsi="Arial Narrow" w:cs="Arial"/>
          <w:sz w:val="26"/>
          <w:szCs w:val="26"/>
        </w:rPr>
        <w:t>0</w:t>
      </w:r>
      <w:r w:rsidR="00B55410">
        <w:rPr>
          <w:rFonts w:ascii="Arial Narrow" w:hAnsi="Arial Narrow" w:cs="Arial"/>
          <w:sz w:val="26"/>
          <w:szCs w:val="26"/>
        </w:rPr>
        <w:t xml:space="preserve">% para el segmento de distribución. </w:t>
      </w:r>
    </w:p>
    <w:p w14:paraId="3D5347A2" w14:textId="6FF15306" w:rsidR="00C747A6" w:rsidRDefault="00C747A6" w:rsidP="00461C5B">
      <w:pPr>
        <w:jc w:val="both"/>
        <w:rPr>
          <w:rFonts w:ascii="Arial Narrow" w:hAnsi="Arial Narrow" w:cs="Arial"/>
          <w:sz w:val="26"/>
          <w:szCs w:val="26"/>
        </w:rPr>
      </w:pPr>
    </w:p>
    <w:p w14:paraId="5E6D6897" w14:textId="2EC6FEFB" w:rsidR="007E0762" w:rsidRPr="008B564D" w:rsidRDefault="007E0762" w:rsidP="007E0762">
      <w:pPr>
        <w:pStyle w:val="Ttulo1"/>
        <w:numPr>
          <w:ilvl w:val="0"/>
          <w:numId w:val="21"/>
        </w:numPr>
        <w:jc w:val="left"/>
        <w:rPr>
          <w:rFonts w:ascii="Arial Narrow" w:hAnsi="Arial Narrow" w:cs="Arial"/>
          <w:b/>
          <w:sz w:val="26"/>
          <w:szCs w:val="26"/>
        </w:rPr>
      </w:pPr>
      <w:bookmarkStart w:id="17" w:name="_Toc114065695"/>
      <w:r>
        <w:rPr>
          <w:rFonts w:ascii="Arial Narrow" w:hAnsi="Arial Narrow" w:cs="Arial"/>
          <w:b/>
          <w:sz w:val="26"/>
          <w:szCs w:val="26"/>
        </w:rPr>
        <w:t xml:space="preserve">ÍNDICE DE ABASTECIMIENTO (%), </w:t>
      </w:r>
      <w:r w:rsidR="003855B0">
        <w:rPr>
          <w:rFonts w:ascii="Arial Narrow" w:hAnsi="Arial Narrow" w:cs="Arial"/>
          <w:b/>
          <w:sz w:val="26"/>
          <w:szCs w:val="26"/>
        </w:rPr>
        <w:t>ABRIL</w:t>
      </w:r>
      <w:r>
        <w:rPr>
          <w:rFonts w:ascii="Arial Narrow" w:hAnsi="Arial Narrow" w:cs="Arial"/>
          <w:b/>
          <w:sz w:val="26"/>
          <w:szCs w:val="26"/>
        </w:rPr>
        <w:t xml:space="preserve"> – </w:t>
      </w:r>
      <w:r w:rsidR="003855B0">
        <w:rPr>
          <w:rFonts w:ascii="Arial Narrow" w:hAnsi="Arial Narrow" w:cs="Arial"/>
          <w:b/>
          <w:sz w:val="26"/>
          <w:szCs w:val="26"/>
        </w:rPr>
        <w:t>JUNIO</w:t>
      </w:r>
      <w:r w:rsidR="00691903">
        <w:rPr>
          <w:rFonts w:ascii="Arial Narrow" w:hAnsi="Arial Narrow" w:cs="Arial"/>
          <w:b/>
          <w:sz w:val="26"/>
          <w:szCs w:val="26"/>
        </w:rPr>
        <w:t xml:space="preserve"> 2022</w:t>
      </w:r>
      <w:r>
        <w:rPr>
          <w:rFonts w:ascii="Arial Narrow" w:hAnsi="Arial Narrow" w:cs="Arial"/>
          <w:b/>
          <w:sz w:val="26"/>
          <w:szCs w:val="26"/>
        </w:rPr>
        <w:t>.</w:t>
      </w:r>
      <w:bookmarkEnd w:id="17"/>
    </w:p>
    <w:p w14:paraId="26525EDF" w14:textId="77777777" w:rsidR="007E0762" w:rsidRDefault="007E0762" w:rsidP="007E0762">
      <w:pPr>
        <w:spacing w:line="276" w:lineRule="auto"/>
        <w:jc w:val="both"/>
        <w:rPr>
          <w:rFonts w:ascii="Arial Narrow" w:hAnsi="Arial Narrow" w:cs="Arial"/>
          <w:sz w:val="26"/>
          <w:szCs w:val="26"/>
        </w:rPr>
      </w:pPr>
    </w:p>
    <w:p w14:paraId="37185A2E" w14:textId="1BEE2CB7" w:rsidR="00B55410" w:rsidRPr="00594D35" w:rsidRDefault="003855B0" w:rsidP="00B55410">
      <w:pPr>
        <w:spacing w:line="276" w:lineRule="auto"/>
        <w:jc w:val="both"/>
        <w:rPr>
          <w:rFonts w:ascii="Arial Narrow" w:hAnsi="Arial Narrow" w:cs="Arial"/>
          <w:sz w:val="26"/>
          <w:szCs w:val="26"/>
        </w:rPr>
      </w:pPr>
      <w:r>
        <w:rPr>
          <w:rFonts w:ascii="Arial Narrow" w:hAnsi="Arial Narrow" w:cs="Arial"/>
          <w:sz w:val="26"/>
          <w:szCs w:val="26"/>
        </w:rPr>
        <w:t>De acuerdo con</w:t>
      </w:r>
      <w:r w:rsidR="00B55410">
        <w:rPr>
          <w:rFonts w:ascii="Arial Narrow" w:hAnsi="Arial Narrow" w:cs="Arial"/>
          <w:sz w:val="26"/>
          <w:szCs w:val="26"/>
        </w:rPr>
        <w:t xml:space="preserve"> lo consensuado en el Pacto Eléctrico, y posteriormente definido en la resolución SIE-061-2021-MEMI, la metodología de cálculo del Índice de Abastecimiento (%) es el siguiente</w:t>
      </w:r>
      <w:r w:rsidR="00B55410" w:rsidRPr="00594D35">
        <w:rPr>
          <w:rFonts w:ascii="Arial Narrow" w:hAnsi="Arial Narrow" w:cs="Arial"/>
          <w:sz w:val="26"/>
          <w:szCs w:val="26"/>
        </w:rPr>
        <w:t>:</w:t>
      </w:r>
    </w:p>
    <w:p w14:paraId="3C487040" w14:textId="77777777" w:rsidR="00B55410" w:rsidRPr="00BE5A22" w:rsidRDefault="00B55410" w:rsidP="00B55410">
      <w:pPr>
        <w:spacing w:line="276" w:lineRule="auto"/>
        <w:jc w:val="both"/>
        <w:rPr>
          <w:rFonts w:ascii="Arial Narrow" w:hAnsi="Arial Narrow" w:cs="Arial"/>
          <w:sz w:val="26"/>
          <w:szCs w:val="26"/>
        </w:rPr>
      </w:pPr>
    </w:p>
    <w:p w14:paraId="42072369" w14:textId="77777777" w:rsidR="00B55410" w:rsidRPr="00BE5A22" w:rsidRDefault="00B63E31" w:rsidP="00B55410">
      <w:pPr>
        <w:spacing w:line="276" w:lineRule="auto"/>
        <w:jc w:val="both"/>
        <w:rPr>
          <w:rFonts w:ascii="Arial Narrow" w:hAnsi="Arial Narrow" w:cs="Arial"/>
          <w:sz w:val="26"/>
          <w:szCs w:val="26"/>
        </w:rPr>
      </w:pPr>
      <m:oMathPara>
        <m:oMath>
          <m:sSub>
            <m:sSubPr>
              <m:ctrlPr>
                <w:rPr>
                  <w:rFonts w:ascii="Cambria Math" w:hAnsi="Cambria Math" w:cs="Arial"/>
                  <w:sz w:val="26"/>
                  <w:szCs w:val="26"/>
                </w:rPr>
              </m:ctrlPr>
            </m:sSubPr>
            <m:e>
              <m:r>
                <w:rPr>
                  <w:rFonts w:ascii="Cambria Math" w:hAnsi="Cambria Math" w:cs="Arial"/>
                  <w:sz w:val="26"/>
                  <w:szCs w:val="26"/>
                </w:rPr>
                <m:t>A</m:t>
              </m:r>
            </m:e>
            <m:sub>
              <m:r>
                <w:rPr>
                  <w:rFonts w:ascii="Cambria Math" w:hAnsi="Cambria Math" w:cs="Arial"/>
                  <w:sz w:val="26"/>
                  <w:szCs w:val="26"/>
                </w:rPr>
                <m:t>t</m:t>
              </m:r>
            </m:sub>
          </m:sSub>
          <m:r>
            <m:rPr>
              <m:sty m:val="p"/>
            </m:rPr>
            <w:rPr>
              <w:rFonts w:ascii="Cambria Math" w:hAnsi="Cambria Math" w:cs="Arial"/>
              <w:sz w:val="26"/>
              <w:szCs w:val="26"/>
            </w:rPr>
            <m:t xml:space="preserve">= </m:t>
          </m:r>
          <m:d>
            <m:dPr>
              <m:begChr m:val="["/>
              <m:endChr m:val="]"/>
              <m:ctrlPr>
                <w:rPr>
                  <w:rFonts w:ascii="Cambria Math" w:hAnsi="Cambria Math" w:cs="Arial"/>
                  <w:sz w:val="26"/>
                  <w:szCs w:val="26"/>
                </w:rPr>
              </m:ctrlPr>
            </m:dPr>
            <m:e>
              <m:f>
                <m:fPr>
                  <m:ctrlPr>
                    <w:rPr>
                      <w:rFonts w:ascii="Cambria Math" w:hAnsi="Cambria Math" w:cs="Arial"/>
                      <w:sz w:val="26"/>
                      <w:szCs w:val="26"/>
                    </w:rPr>
                  </m:ctrlPr>
                </m:fPr>
                <m:num>
                  <m:nary>
                    <m:naryPr>
                      <m:chr m:val="∑"/>
                      <m:limLoc m:val="undOvr"/>
                      <m:subHide m:val="1"/>
                      <m:supHide m:val="1"/>
                      <m:ctrlPr>
                        <w:rPr>
                          <w:rFonts w:ascii="Cambria Math" w:hAnsi="Cambria Math" w:cs="Arial"/>
                          <w:sz w:val="26"/>
                          <w:szCs w:val="26"/>
                        </w:rPr>
                      </m:ctrlPr>
                    </m:naryPr>
                    <m:sub/>
                    <m:sup/>
                    <m:e>
                      <m:sSub>
                        <m:sSubPr>
                          <m:ctrlPr>
                            <w:rPr>
                              <w:rFonts w:ascii="Cambria Math" w:hAnsi="Cambria Math" w:cs="Arial"/>
                              <w:sz w:val="26"/>
                              <w:szCs w:val="26"/>
                            </w:rPr>
                          </m:ctrlPr>
                        </m:sSubPr>
                        <m:e>
                          <m:r>
                            <w:rPr>
                              <w:rFonts w:ascii="Cambria Math" w:hAnsi="Cambria Math" w:cs="Arial"/>
                              <w:sz w:val="26"/>
                              <w:szCs w:val="26"/>
                            </w:rPr>
                            <m:t>R</m:t>
                          </m:r>
                        </m:e>
                        <m:sub>
                          <m:r>
                            <w:rPr>
                              <w:rFonts w:ascii="Cambria Math" w:hAnsi="Cambria Math" w:cs="Arial"/>
                              <w:sz w:val="26"/>
                              <w:szCs w:val="26"/>
                            </w:rPr>
                            <m:t>t</m:t>
                          </m:r>
                        </m:sub>
                      </m:sSub>
                    </m:e>
                  </m:nary>
                </m:num>
                <m:den>
                  <m:d>
                    <m:dPr>
                      <m:ctrlPr>
                        <w:rPr>
                          <w:rFonts w:ascii="Cambria Math" w:hAnsi="Cambria Math" w:cs="Arial"/>
                          <w:sz w:val="26"/>
                          <w:szCs w:val="26"/>
                        </w:rPr>
                      </m:ctrlPr>
                    </m:dPr>
                    <m:e>
                      <m:nary>
                        <m:naryPr>
                          <m:chr m:val="∑"/>
                          <m:limLoc m:val="undOvr"/>
                          <m:subHide m:val="1"/>
                          <m:supHide m:val="1"/>
                          <m:ctrlPr>
                            <w:rPr>
                              <w:rFonts w:ascii="Cambria Math" w:hAnsi="Cambria Math" w:cs="Arial"/>
                              <w:sz w:val="26"/>
                              <w:szCs w:val="26"/>
                            </w:rPr>
                          </m:ctrlPr>
                        </m:naryPr>
                        <m:sub/>
                        <m:sup/>
                        <m:e>
                          <m:sSub>
                            <m:sSubPr>
                              <m:ctrlPr>
                                <w:rPr>
                                  <w:rFonts w:ascii="Cambria Math" w:hAnsi="Cambria Math" w:cs="Arial"/>
                                  <w:sz w:val="26"/>
                                  <w:szCs w:val="26"/>
                                </w:rPr>
                              </m:ctrlPr>
                            </m:sSubPr>
                            <m:e>
                              <m:r>
                                <w:rPr>
                                  <w:rFonts w:ascii="Cambria Math" w:hAnsi="Cambria Math" w:cs="Arial"/>
                                  <w:sz w:val="26"/>
                                  <w:szCs w:val="26"/>
                                </w:rPr>
                                <m:t>R</m:t>
                              </m:r>
                            </m:e>
                            <m:sub>
                              <m:r>
                                <w:rPr>
                                  <w:rFonts w:ascii="Cambria Math" w:hAnsi="Cambria Math" w:cs="Arial"/>
                                  <w:sz w:val="26"/>
                                  <w:szCs w:val="26"/>
                                </w:rPr>
                                <m:t>t</m:t>
                              </m:r>
                            </m:sub>
                          </m:sSub>
                        </m:e>
                      </m:nary>
                      <m:r>
                        <m:rPr>
                          <m:sty m:val="p"/>
                        </m:rPr>
                        <w:rPr>
                          <w:rFonts w:ascii="Cambria Math" w:hAnsi="Cambria Math" w:cs="Arial"/>
                          <w:sz w:val="26"/>
                          <w:szCs w:val="26"/>
                        </w:rPr>
                        <m:t xml:space="preserve">+ </m:t>
                      </m:r>
                      <m:nary>
                        <m:naryPr>
                          <m:chr m:val="∑"/>
                          <m:limLoc m:val="undOvr"/>
                          <m:subHide m:val="1"/>
                          <m:supHide m:val="1"/>
                          <m:ctrlPr>
                            <w:rPr>
                              <w:rFonts w:ascii="Cambria Math" w:hAnsi="Cambria Math" w:cs="Arial"/>
                              <w:sz w:val="26"/>
                              <w:szCs w:val="26"/>
                            </w:rPr>
                          </m:ctrlPr>
                        </m:naryPr>
                        <m:sub/>
                        <m:sup/>
                        <m:e>
                          <m:sSub>
                            <m:sSubPr>
                              <m:ctrlPr>
                                <w:rPr>
                                  <w:rFonts w:ascii="Cambria Math" w:hAnsi="Cambria Math" w:cs="Arial"/>
                                  <w:sz w:val="26"/>
                                  <w:szCs w:val="26"/>
                                </w:rPr>
                              </m:ctrlPr>
                            </m:sSubPr>
                            <m:e>
                              <m:r>
                                <w:rPr>
                                  <w:rFonts w:ascii="Cambria Math" w:hAnsi="Cambria Math" w:cs="Arial"/>
                                  <w:sz w:val="26"/>
                                  <w:szCs w:val="26"/>
                                </w:rPr>
                                <m:t>NA</m:t>
                              </m:r>
                            </m:e>
                            <m:sub>
                              <m:r>
                                <w:rPr>
                                  <w:rFonts w:ascii="Cambria Math" w:hAnsi="Cambria Math" w:cs="Arial"/>
                                  <w:sz w:val="26"/>
                                  <w:szCs w:val="26"/>
                                </w:rPr>
                                <m:t>t</m:t>
                              </m:r>
                            </m:sub>
                          </m:sSub>
                        </m:e>
                      </m:nary>
                    </m:e>
                  </m:d>
                </m:den>
              </m:f>
            </m:e>
          </m:d>
          <m:r>
            <m:rPr>
              <m:sty m:val="p"/>
            </m:rPr>
            <w:rPr>
              <w:rFonts w:ascii="Cambria Math" w:hAnsi="Cambria Math" w:cs="Arial"/>
              <w:sz w:val="26"/>
              <w:szCs w:val="26"/>
            </w:rPr>
            <m:t>*</m:t>
          </m:r>
          <m:r>
            <m:rPr>
              <m:sty m:val="p"/>
            </m:rPr>
            <w:rPr>
              <w:rFonts w:ascii="Cambria Math" w:hAnsi="Cambria Math" w:cs="Arial"/>
              <w:sz w:val="26"/>
              <w:szCs w:val="26"/>
            </w:rPr>
            <m:t>100</m:t>
          </m:r>
        </m:oMath>
      </m:oMathPara>
    </w:p>
    <w:p w14:paraId="26E65D05" w14:textId="77777777" w:rsidR="00B55410" w:rsidRDefault="00B55410" w:rsidP="00B55410">
      <w:pPr>
        <w:spacing w:line="276" w:lineRule="auto"/>
        <w:jc w:val="both"/>
        <w:rPr>
          <w:rFonts w:ascii="Arial Narrow" w:hAnsi="Arial Narrow" w:cs="Arial"/>
          <w:sz w:val="26"/>
          <w:szCs w:val="26"/>
        </w:rPr>
      </w:pPr>
      <w:r w:rsidRPr="00BE5A22">
        <w:rPr>
          <w:rFonts w:ascii="Arial Narrow" w:hAnsi="Arial Narrow" w:cs="Arial"/>
          <w:sz w:val="26"/>
          <w:szCs w:val="26"/>
        </w:rPr>
        <w:tab/>
      </w:r>
    </w:p>
    <w:p w14:paraId="6E8B558A" w14:textId="77777777" w:rsidR="00B55410" w:rsidRPr="00BE5A22" w:rsidRDefault="00B55410" w:rsidP="00B55410">
      <w:pPr>
        <w:spacing w:line="276" w:lineRule="auto"/>
        <w:jc w:val="both"/>
        <w:rPr>
          <w:rFonts w:ascii="Arial Narrow" w:hAnsi="Arial Narrow" w:cs="Arial"/>
          <w:sz w:val="26"/>
          <w:szCs w:val="26"/>
        </w:rPr>
      </w:pPr>
      <w:r w:rsidRPr="00BE5A22">
        <w:rPr>
          <w:rFonts w:ascii="Arial Narrow" w:hAnsi="Arial Narrow" w:cs="Arial"/>
          <w:sz w:val="26"/>
          <w:szCs w:val="26"/>
        </w:rPr>
        <w:t xml:space="preserve">Donde: </w:t>
      </w:r>
    </w:p>
    <w:p w14:paraId="725D8F55" w14:textId="77777777" w:rsidR="00B55410" w:rsidRPr="00BE5A22" w:rsidRDefault="00B55410" w:rsidP="00B55410">
      <w:pPr>
        <w:spacing w:line="276" w:lineRule="auto"/>
        <w:jc w:val="both"/>
        <w:rPr>
          <w:rFonts w:ascii="Arial Narrow" w:hAnsi="Arial Narrow" w:cs="Arial"/>
          <w:sz w:val="26"/>
          <w:szCs w:val="26"/>
        </w:rPr>
      </w:pPr>
    </w:p>
    <w:p w14:paraId="0A50A7FE" w14:textId="77777777" w:rsidR="00B55410" w:rsidRPr="00BE5A22" w:rsidRDefault="00B63E31" w:rsidP="00B55410">
      <w:pPr>
        <w:spacing w:line="276" w:lineRule="auto"/>
        <w:jc w:val="both"/>
        <w:rPr>
          <w:rFonts w:ascii="Arial Narrow" w:hAnsi="Arial Narrow" w:cs="Arial"/>
          <w:sz w:val="26"/>
          <w:szCs w:val="26"/>
        </w:rPr>
      </w:pPr>
      <m:oMath>
        <m:sSub>
          <m:sSubPr>
            <m:ctrlPr>
              <w:rPr>
                <w:rFonts w:ascii="Cambria Math" w:hAnsi="Cambria Math" w:cs="Arial"/>
                <w:sz w:val="26"/>
                <w:szCs w:val="26"/>
              </w:rPr>
            </m:ctrlPr>
          </m:sSubPr>
          <m:e>
            <m:r>
              <w:rPr>
                <w:rFonts w:ascii="Cambria Math" w:hAnsi="Cambria Math" w:cs="Arial"/>
                <w:sz w:val="26"/>
                <w:szCs w:val="26"/>
              </w:rPr>
              <m:t>A</m:t>
            </m:r>
          </m:e>
          <m:sub>
            <m:r>
              <w:rPr>
                <w:rFonts w:ascii="Cambria Math" w:hAnsi="Cambria Math" w:cs="Arial"/>
                <w:sz w:val="26"/>
                <w:szCs w:val="26"/>
              </w:rPr>
              <m:t>t</m:t>
            </m:r>
          </m:sub>
        </m:sSub>
      </m:oMath>
      <w:r w:rsidR="00B55410" w:rsidRPr="00BE5A22">
        <w:rPr>
          <w:rFonts w:ascii="Arial Narrow" w:hAnsi="Arial Narrow" w:cs="Arial"/>
          <w:sz w:val="26"/>
          <w:szCs w:val="26"/>
        </w:rPr>
        <w:t>:</w:t>
      </w:r>
      <w:r w:rsidR="00B55410" w:rsidRPr="00BE5A22">
        <w:rPr>
          <w:rFonts w:ascii="Arial Narrow" w:hAnsi="Arial Narrow" w:cs="Arial"/>
          <w:sz w:val="26"/>
          <w:szCs w:val="26"/>
        </w:rPr>
        <w:tab/>
      </w:r>
      <w:r w:rsidR="00B55410">
        <w:rPr>
          <w:rFonts w:ascii="Arial Narrow" w:hAnsi="Arial Narrow" w:cs="Arial"/>
          <w:sz w:val="26"/>
          <w:szCs w:val="26"/>
        </w:rPr>
        <w:t>Se</w:t>
      </w:r>
      <w:r w:rsidR="00B55410" w:rsidRPr="00BE5A22">
        <w:rPr>
          <w:rFonts w:ascii="Arial Narrow" w:hAnsi="Arial Narrow" w:cs="Arial"/>
          <w:sz w:val="26"/>
          <w:szCs w:val="26"/>
        </w:rPr>
        <w:t xml:space="preserve"> refiere al nivel de abastecimiento de las Empresas Distribuidoras de Electricidad estatales, dada su demanda de GWh en el mes t, medido en porcentaje.</w:t>
      </w:r>
    </w:p>
    <w:p w14:paraId="53497558" w14:textId="1D70E46B" w:rsidR="00B55410" w:rsidRPr="00BE5A22" w:rsidRDefault="00B63E31" w:rsidP="00B55410">
      <w:pPr>
        <w:spacing w:line="276" w:lineRule="auto"/>
        <w:jc w:val="both"/>
        <w:rPr>
          <w:rFonts w:ascii="Arial Narrow" w:hAnsi="Arial Narrow" w:cs="Arial"/>
          <w:sz w:val="26"/>
          <w:szCs w:val="26"/>
        </w:rPr>
      </w:pPr>
      <m:oMath>
        <m:sSub>
          <m:sSubPr>
            <m:ctrlPr>
              <w:rPr>
                <w:rFonts w:ascii="Cambria Math" w:hAnsi="Cambria Math" w:cs="Arial"/>
                <w:sz w:val="26"/>
                <w:szCs w:val="26"/>
              </w:rPr>
            </m:ctrlPr>
          </m:sSubPr>
          <m:e>
            <m:r>
              <w:rPr>
                <w:rFonts w:ascii="Cambria Math" w:hAnsi="Cambria Math" w:cs="Arial"/>
                <w:sz w:val="26"/>
                <w:szCs w:val="26"/>
              </w:rPr>
              <m:t>R</m:t>
            </m:r>
          </m:e>
          <m:sub>
            <m:r>
              <w:rPr>
                <w:rFonts w:ascii="Cambria Math" w:hAnsi="Cambria Math" w:cs="Arial"/>
                <w:sz w:val="26"/>
                <w:szCs w:val="26"/>
              </w:rPr>
              <m:t>t</m:t>
            </m:r>
          </m:sub>
        </m:sSub>
      </m:oMath>
      <w:r w:rsidR="00B55410" w:rsidRPr="00BE5A22">
        <w:rPr>
          <w:rFonts w:ascii="Arial Narrow" w:hAnsi="Arial Narrow" w:cs="Arial"/>
          <w:sz w:val="26"/>
          <w:szCs w:val="26"/>
        </w:rPr>
        <w:t>:</w:t>
      </w:r>
      <w:r w:rsidR="00B55410" w:rsidRPr="00BE5A22">
        <w:rPr>
          <w:rFonts w:ascii="Arial Narrow" w:hAnsi="Arial Narrow" w:cs="Arial"/>
          <w:sz w:val="26"/>
          <w:szCs w:val="26"/>
        </w:rPr>
        <w:tab/>
        <w:t xml:space="preserve">Es el total de GWh entregados a las Empresas Distribuidoras de Electricidad estatales, en el mes t; </w:t>
      </w:r>
      <w:r w:rsidR="000740B1" w:rsidRPr="00BE5A22">
        <w:rPr>
          <w:rFonts w:ascii="Arial Narrow" w:hAnsi="Arial Narrow" w:cs="Arial"/>
          <w:sz w:val="26"/>
          <w:szCs w:val="26"/>
        </w:rPr>
        <w:t>de acuerdo con</w:t>
      </w:r>
      <w:r w:rsidR="00B55410" w:rsidRPr="00BE5A22">
        <w:rPr>
          <w:rFonts w:ascii="Arial Narrow" w:hAnsi="Arial Narrow" w:cs="Arial"/>
          <w:sz w:val="26"/>
          <w:szCs w:val="26"/>
        </w:rPr>
        <w:t xml:space="preserve"> los reportes del Organismo Coordinador del Sistema eléctrico Nacional Interconectado (OC-SENI).</w:t>
      </w:r>
    </w:p>
    <w:p w14:paraId="4427820B" w14:textId="46A9D343" w:rsidR="00B55410" w:rsidRPr="00BE5A22" w:rsidRDefault="00B63E31" w:rsidP="00B55410">
      <w:pPr>
        <w:spacing w:line="276" w:lineRule="auto"/>
        <w:jc w:val="both"/>
        <w:rPr>
          <w:rFonts w:ascii="Arial Narrow" w:hAnsi="Arial Narrow" w:cs="Arial"/>
          <w:sz w:val="26"/>
          <w:szCs w:val="26"/>
        </w:rPr>
      </w:pPr>
      <m:oMath>
        <m:sSub>
          <m:sSubPr>
            <m:ctrlPr>
              <w:rPr>
                <w:rFonts w:ascii="Cambria Math" w:hAnsi="Cambria Math" w:cs="Arial"/>
                <w:sz w:val="26"/>
                <w:szCs w:val="26"/>
              </w:rPr>
            </m:ctrlPr>
          </m:sSubPr>
          <m:e>
            <m:r>
              <w:rPr>
                <w:rFonts w:ascii="Cambria Math" w:hAnsi="Cambria Math" w:cs="Arial"/>
                <w:sz w:val="26"/>
                <w:szCs w:val="26"/>
              </w:rPr>
              <m:t>NA</m:t>
            </m:r>
          </m:e>
          <m:sub>
            <m:r>
              <w:rPr>
                <w:rFonts w:ascii="Cambria Math" w:hAnsi="Cambria Math" w:cs="Arial"/>
                <w:sz w:val="26"/>
                <w:szCs w:val="26"/>
              </w:rPr>
              <m:t>t</m:t>
            </m:r>
          </m:sub>
        </m:sSub>
      </m:oMath>
      <w:r w:rsidR="00B55410" w:rsidRPr="00BE5A22">
        <w:rPr>
          <w:rFonts w:ascii="Arial Narrow" w:hAnsi="Arial Narrow" w:cs="Arial"/>
          <w:sz w:val="26"/>
          <w:szCs w:val="26"/>
        </w:rPr>
        <w:t>:</w:t>
      </w:r>
      <w:r w:rsidR="00B55410" w:rsidRPr="00BE5A22">
        <w:rPr>
          <w:rFonts w:ascii="Arial Narrow" w:hAnsi="Arial Narrow" w:cs="Arial"/>
          <w:sz w:val="26"/>
          <w:szCs w:val="26"/>
        </w:rPr>
        <w:tab/>
        <w:t xml:space="preserve">Es la demanda no abastecida a las Empresas Distribuidoras de Electricidad estatales, que es equivalente a la cantidad de GWh no entregada a las mismas, en el mes t; </w:t>
      </w:r>
      <w:r w:rsidR="003855B0" w:rsidRPr="00BE5A22">
        <w:rPr>
          <w:rFonts w:ascii="Arial Narrow" w:hAnsi="Arial Narrow" w:cs="Arial"/>
          <w:sz w:val="26"/>
          <w:szCs w:val="26"/>
        </w:rPr>
        <w:t>de acuerdo con</w:t>
      </w:r>
      <w:r w:rsidR="00B55410" w:rsidRPr="00BE5A22">
        <w:rPr>
          <w:rFonts w:ascii="Arial Narrow" w:hAnsi="Arial Narrow" w:cs="Arial"/>
          <w:sz w:val="26"/>
          <w:szCs w:val="26"/>
        </w:rPr>
        <w:t xml:space="preserve"> los reportes del OC.</w:t>
      </w:r>
    </w:p>
    <w:p w14:paraId="3AB4A801" w14:textId="77777777" w:rsidR="00B55410" w:rsidRPr="00594D35" w:rsidRDefault="00B55410" w:rsidP="00B55410">
      <w:pPr>
        <w:spacing w:line="276" w:lineRule="auto"/>
        <w:jc w:val="both"/>
        <w:rPr>
          <w:rFonts w:ascii="Arial Narrow" w:hAnsi="Arial Narrow" w:cs="Arial"/>
          <w:sz w:val="26"/>
          <w:szCs w:val="26"/>
        </w:rPr>
      </w:pPr>
    </w:p>
    <w:p w14:paraId="34903C63" w14:textId="76C4D4EC" w:rsidR="00B83CCA" w:rsidRDefault="00B55410" w:rsidP="00B55410">
      <w:pPr>
        <w:jc w:val="both"/>
        <w:rPr>
          <w:rFonts w:ascii="Arial Narrow" w:hAnsi="Arial Narrow" w:cs="Arial"/>
          <w:sz w:val="26"/>
          <w:szCs w:val="26"/>
        </w:rPr>
      </w:pPr>
      <w:r>
        <w:rPr>
          <w:rFonts w:ascii="Arial Narrow" w:hAnsi="Arial Narrow" w:cs="Arial"/>
          <w:sz w:val="26"/>
          <w:szCs w:val="26"/>
        </w:rPr>
        <w:t>El “Índice de Abastecimiento (%</w:t>
      </w:r>
      <w:r w:rsidR="003855B0">
        <w:rPr>
          <w:rFonts w:ascii="Arial Narrow" w:hAnsi="Arial Narrow" w:cs="Arial"/>
          <w:sz w:val="26"/>
          <w:szCs w:val="26"/>
        </w:rPr>
        <w:t>)” para el segundo trimestre</w:t>
      </w:r>
      <w:r>
        <w:rPr>
          <w:rFonts w:ascii="Arial Narrow" w:hAnsi="Arial Narrow" w:cs="Arial"/>
          <w:sz w:val="26"/>
          <w:szCs w:val="26"/>
        </w:rPr>
        <w:t xml:space="preserve"> 202</w:t>
      </w:r>
      <w:r w:rsidR="00691903">
        <w:rPr>
          <w:rFonts w:ascii="Arial Narrow" w:hAnsi="Arial Narrow" w:cs="Arial"/>
          <w:sz w:val="26"/>
          <w:szCs w:val="26"/>
        </w:rPr>
        <w:t>2</w:t>
      </w:r>
      <w:r>
        <w:rPr>
          <w:rFonts w:ascii="Arial Narrow" w:hAnsi="Arial Narrow" w:cs="Arial"/>
          <w:sz w:val="26"/>
          <w:szCs w:val="26"/>
        </w:rPr>
        <w:t xml:space="preserve"> </w:t>
      </w:r>
      <w:r w:rsidR="003855B0">
        <w:rPr>
          <w:rFonts w:ascii="Arial Narrow" w:hAnsi="Arial Narrow" w:cs="Arial"/>
          <w:sz w:val="26"/>
          <w:szCs w:val="26"/>
        </w:rPr>
        <w:t>es</w:t>
      </w:r>
      <w:r w:rsidR="00B83CCA">
        <w:rPr>
          <w:rFonts w:ascii="Arial Narrow" w:hAnsi="Arial Narrow" w:cs="Arial"/>
          <w:sz w:val="26"/>
          <w:szCs w:val="26"/>
        </w:rPr>
        <w:t>:</w:t>
      </w:r>
    </w:p>
    <w:tbl>
      <w:tblPr>
        <w:tblW w:w="9985" w:type="dxa"/>
        <w:tblCellMar>
          <w:left w:w="70" w:type="dxa"/>
          <w:right w:w="70" w:type="dxa"/>
        </w:tblCellMar>
        <w:tblLook w:val="04A0" w:firstRow="1" w:lastRow="0" w:firstColumn="1" w:lastColumn="0" w:noHBand="0" w:noVBand="1"/>
      </w:tblPr>
      <w:tblGrid>
        <w:gridCol w:w="2133"/>
        <w:gridCol w:w="951"/>
        <w:gridCol w:w="951"/>
        <w:gridCol w:w="1473"/>
        <w:gridCol w:w="1618"/>
        <w:gridCol w:w="951"/>
        <w:gridCol w:w="951"/>
        <w:gridCol w:w="957"/>
      </w:tblGrid>
      <w:tr w:rsidR="003855B0" w:rsidRPr="003855B0" w14:paraId="2CFC5E69" w14:textId="77777777" w:rsidTr="003855B0">
        <w:trPr>
          <w:trHeight w:val="307"/>
        </w:trPr>
        <w:tc>
          <w:tcPr>
            <w:tcW w:w="2133" w:type="dxa"/>
            <w:tcBorders>
              <w:top w:val="nil"/>
              <w:left w:val="nil"/>
              <w:bottom w:val="nil"/>
              <w:right w:val="nil"/>
            </w:tcBorders>
            <w:shd w:val="clear" w:color="auto" w:fill="auto"/>
            <w:noWrap/>
            <w:vAlign w:val="bottom"/>
            <w:hideMark/>
          </w:tcPr>
          <w:p w14:paraId="0382ACEC" w14:textId="77777777" w:rsidR="003855B0" w:rsidRPr="003855B0" w:rsidRDefault="003855B0" w:rsidP="003855B0">
            <w:pPr>
              <w:spacing w:after="0"/>
              <w:jc w:val="left"/>
              <w:rPr>
                <w:rFonts w:ascii="Times New Roman" w:eastAsia="Times New Roman" w:hAnsi="Times New Roman" w:cs="Times New Roman"/>
                <w:sz w:val="24"/>
                <w:szCs w:val="24"/>
                <w:lang w:eastAsia="es-ES"/>
              </w:rPr>
            </w:pPr>
          </w:p>
        </w:tc>
        <w:tc>
          <w:tcPr>
            <w:tcW w:w="7852" w:type="dxa"/>
            <w:gridSpan w:val="7"/>
            <w:tcBorders>
              <w:top w:val="nil"/>
              <w:left w:val="nil"/>
              <w:bottom w:val="nil"/>
              <w:right w:val="nil"/>
            </w:tcBorders>
            <w:shd w:val="clear" w:color="auto" w:fill="auto"/>
            <w:noWrap/>
            <w:vAlign w:val="bottom"/>
            <w:hideMark/>
          </w:tcPr>
          <w:p w14:paraId="47308F75" w14:textId="01E4748A" w:rsidR="003855B0" w:rsidRPr="003855B0" w:rsidRDefault="003855B0" w:rsidP="003855B0">
            <w:pPr>
              <w:spacing w:after="0"/>
              <w:jc w:val="both"/>
              <w:rPr>
                <w:rFonts w:ascii="Calibri" w:eastAsia="Times New Roman" w:hAnsi="Calibri" w:cs="Calibri"/>
                <w:b/>
                <w:bCs/>
                <w:color w:val="000000"/>
                <w:sz w:val="22"/>
                <w:szCs w:val="22"/>
                <w:lang w:eastAsia="es-ES"/>
              </w:rPr>
            </w:pPr>
            <w:r>
              <w:rPr>
                <w:rFonts w:ascii="Calibri" w:eastAsia="Times New Roman" w:hAnsi="Calibri" w:cs="Calibri"/>
                <w:b/>
                <w:bCs/>
                <w:color w:val="000000"/>
                <w:sz w:val="22"/>
                <w:szCs w:val="22"/>
                <w:lang w:eastAsia="es-ES"/>
              </w:rPr>
              <w:t xml:space="preserve">                                       </w:t>
            </w:r>
            <w:r w:rsidRPr="003855B0">
              <w:rPr>
                <w:rFonts w:ascii="Calibri" w:eastAsia="Times New Roman" w:hAnsi="Calibri" w:cs="Calibri"/>
                <w:b/>
                <w:bCs/>
                <w:color w:val="000000"/>
                <w:sz w:val="22"/>
                <w:szCs w:val="22"/>
                <w:lang w:eastAsia="es-ES"/>
              </w:rPr>
              <w:t>ÍNDICE DE ABASTECIMIENTO</w:t>
            </w:r>
          </w:p>
        </w:tc>
      </w:tr>
      <w:tr w:rsidR="003855B0" w:rsidRPr="003855B0" w14:paraId="2AAE6186" w14:textId="77777777" w:rsidTr="003855B0">
        <w:trPr>
          <w:trHeight w:val="307"/>
        </w:trPr>
        <w:tc>
          <w:tcPr>
            <w:tcW w:w="2133" w:type="dxa"/>
            <w:tcBorders>
              <w:top w:val="nil"/>
              <w:left w:val="nil"/>
              <w:bottom w:val="nil"/>
              <w:right w:val="nil"/>
            </w:tcBorders>
            <w:shd w:val="clear" w:color="auto" w:fill="auto"/>
            <w:noWrap/>
            <w:vAlign w:val="bottom"/>
            <w:hideMark/>
          </w:tcPr>
          <w:p w14:paraId="68BEB2FD" w14:textId="77777777" w:rsidR="003855B0" w:rsidRPr="003855B0" w:rsidRDefault="003855B0" w:rsidP="003855B0">
            <w:pPr>
              <w:spacing w:after="0"/>
              <w:rPr>
                <w:rFonts w:ascii="Calibri" w:eastAsia="Times New Roman" w:hAnsi="Calibri" w:cs="Calibri"/>
                <w:b/>
                <w:bCs/>
                <w:color w:val="000000"/>
                <w:sz w:val="22"/>
                <w:szCs w:val="22"/>
                <w:lang w:eastAsia="es-ES"/>
              </w:rPr>
            </w:pPr>
          </w:p>
        </w:tc>
        <w:tc>
          <w:tcPr>
            <w:tcW w:w="951" w:type="dxa"/>
            <w:tcBorders>
              <w:top w:val="nil"/>
              <w:left w:val="nil"/>
              <w:bottom w:val="nil"/>
              <w:right w:val="nil"/>
            </w:tcBorders>
            <w:shd w:val="clear" w:color="auto" w:fill="auto"/>
            <w:noWrap/>
            <w:vAlign w:val="bottom"/>
            <w:hideMark/>
          </w:tcPr>
          <w:p w14:paraId="76E593BC" w14:textId="77777777" w:rsidR="003855B0" w:rsidRPr="003855B0" w:rsidRDefault="003855B0" w:rsidP="003855B0">
            <w:pPr>
              <w:spacing w:after="0"/>
              <w:jc w:val="left"/>
              <w:rPr>
                <w:rFonts w:ascii="Times New Roman" w:eastAsia="Times New Roman" w:hAnsi="Times New Roman" w:cs="Times New Roman"/>
                <w:sz w:val="20"/>
                <w:szCs w:val="20"/>
                <w:lang w:eastAsia="es-ES"/>
              </w:rPr>
            </w:pPr>
          </w:p>
        </w:tc>
        <w:tc>
          <w:tcPr>
            <w:tcW w:w="951" w:type="dxa"/>
            <w:tcBorders>
              <w:top w:val="nil"/>
              <w:left w:val="nil"/>
              <w:bottom w:val="nil"/>
              <w:right w:val="nil"/>
            </w:tcBorders>
            <w:shd w:val="clear" w:color="auto" w:fill="auto"/>
            <w:noWrap/>
            <w:vAlign w:val="bottom"/>
            <w:hideMark/>
          </w:tcPr>
          <w:p w14:paraId="60618EDA" w14:textId="77777777" w:rsidR="003855B0" w:rsidRPr="003855B0" w:rsidRDefault="003855B0" w:rsidP="003855B0">
            <w:pPr>
              <w:spacing w:after="0"/>
              <w:jc w:val="left"/>
              <w:rPr>
                <w:rFonts w:ascii="Times New Roman" w:eastAsia="Times New Roman" w:hAnsi="Times New Roman" w:cs="Times New Roman"/>
                <w:sz w:val="20"/>
                <w:szCs w:val="20"/>
                <w:lang w:eastAsia="es-ES"/>
              </w:rPr>
            </w:pPr>
          </w:p>
        </w:tc>
        <w:tc>
          <w:tcPr>
            <w:tcW w:w="1473" w:type="dxa"/>
            <w:tcBorders>
              <w:top w:val="nil"/>
              <w:left w:val="nil"/>
              <w:bottom w:val="nil"/>
              <w:right w:val="nil"/>
            </w:tcBorders>
            <w:shd w:val="clear" w:color="auto" w:fill="auto"/>
            <w:noWrap/>
            <w:vAlign w:val="bottom"/>
            <w:hideMark/>
          </w:tcPr>
          <w:p w14:paraId="19B22F45" w14:textId="77777777" w:rsidR="003855B0" w:rsidRPr="003855B0" w:rsidRDefault="003855B0" w:rsidP="003855B0">
            <w:pPr>
              <w:spacing w:after="0"/>
              <w:jc w:val="left"/>
              <w:rPr>
                <w:rFonts w:ascii="Times New Roman" w:eastAsia="Times New Roman" w:hAnsi="Times New Roman" w:cs="Times New Roman"/>
                <w:sz w:val="20"/>
                <w:szCs w:val="20"/>
                <w:lang w:eastAsia="es-ES"/>
              </w:rPr>
            </w:pPr>
          </w:p>
        </w:tc>
        <w:tc>
          <w:tcPr>
            <w:tcW w:w="1618" w:type="dxa"/>
            <w:tcBorders>
              <w:top w:val="nil"/>
              <w:left w:val="nil"/>
              <w:bottom w:val="nil"/>
              <w:right w:val="nil"/>
            </w:tcBorders>
            <w:shd w:val="clear" w:color="auto" w:fill="auto"/>
            <w:noWrap/>
            <w:vAlign w:val="bottom"/>
            <w:hideMark/>
          </w:tcPr>
          <w:p w14:paraId="63CC1706" w14:textId="77777777" w:rsidR="003855B0" w:rsidRPr="003855B0" w:rsidRDefault="003855B0" w:rsidP="003855B0">
            <w:pPr>
              <w:spacing w:after="0"/>
              <w:jc w:val="left"/>
              <w:rPr>
                <w:rFonts w:ascii="Times New Roman" w:eastAsia="Times New Roman" w:hAnsi="Times New Roman" w:cs="Times New Roman"/>
                <w:sz w:val="20"/>
                <w:szCs w:val="20"/>
                <w:lang w:eastAsia="es-ES"/>
              </w:rPr>
            </w:pPr>
          </w:p>
        </w:tc>
        <w:tc>
          <w:tcPr>
            <w:tcW w:w="2857" w:type="dxa"/>
            <w:gridSpan w:val="3"/>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279C1A6C" w14:textId="77777777" w:rsidR="003855B0" w:rsidRPr="003855B0" w:rsidRDefault="003855B0" w:rsidP="003855B0">
            <w:pPr>
              <w:spacing w:after="0"/>
              <w:rPr>
                <w:rFonts w:ascii="Calibri" w:eastAsia="Times New Roman" w:hAnsi="Calibri" w:cs="Calibri"/>
                <w:b/>
                <w:bCs/>
                <w:color w:val="000000"/>
                <w:sz w:val="22"/>
                <w:szCs w:val="22"/>
                <w:lang w:eastAsia="es-ES"/>
              </w:rPr>
            </w:pPr>
            <w:r w:rsidRPr="003855B0">
              <w:rPr>
                <w:rFonts w:ascii="Calibri" w:eastAsia="Times New Roman" w:hAnsi="Calibri" w:cs="Calibri"/>
                <w:b/>
                <w:bCs/>
                <w:color w:val="000000"/>
                <w:sz w:val="22"/>
                <w:szCs w:val="22"/>
                <w:lang w:eastAsia="es-ES"/>
              </w:rPr>
              <w:t>Logros Abr - Jun 2022</w:t>
            </w:r>
          </w:p>
        </w:tc>
      </w:tr>
      <w:tr w:rsidR="003855B0" w:rsidRPr="003855B0" w14:paraId="7CB4711C" w14:textId="77777777" w:rsidTr="003855B0">
        <w:trPr>
          <w:trHeight w:val="893"/>
        </w:trPr>
        <w:tc>
          <w:tcPr>
            <w:tcW w:w="2133" w:type="dxa"/>
            <w:tcBorders>
              <w:top w:val="nil"/>
              <w:left w:val="nil"/>
              <w:bottom w:val="nil"/>
              <w:right w:val="nil"/>
            </w:tcBorders>
            <w:shd w:val="clear" w:color="auto" w:fill="auto"/>
            <w:noWrap/>
            <w:vAlign w:val="bottom"/>
            <w:hideMark/>
          </w:tcPr>
          <w:p w14:paraId="7EE025AC" w14:textId="77777777" w:rsidR="003855B0" w:rsidRPr="003855B0" w:rsidRDefault="003855B0" w:rsidP="003855B0">
            <w:pPr>
              <w:spacing w:after="0"/>
              <w:rPr>
                <w:rFonts w:ascii="Calibri" w:eastAsia="Times New Roman" w:hAnsi="Calibri" w:cs="Calibri"/>
                <w:b/>
                <w:bCs/>
                <w:color w:val="000000"/>
                <w:sz w:val="22"/>
                <w:szCs w:val="22"/>
                <w:lang w:eastAsia="es-ES"/>
              </w:rPr>
            </w:pPr>
          </w:p>
        </w:tc>
        <w:tc>
          <w:tcPr>
            <w:tcW w:w="951" w:type="dxa"/>
            <w:tcBorders>
              <w:top w:val="single" w:sz="8" w:space="0" w:color="auto"/>
              <w:left w:val="single" w:sz="8" w:space="0" w:color="auto"/>
              <w:bottom w:val="single" w:sz="8" w:space="0" w:color="auto"/>
              <w:right w:val="single" w:sz="4" w:space="0" w:color="auto"/>
            </w:tcBorders>
            <w:shd w:val="clear" w:color="000000" w:fill="C6E0B4"/>
            <w:vAlign w:val="center"/>
            <w:hideMark/>
          </w:tcPr>
          <w:p w14:paraId="78122913" w14:textId="77777777" w:rsidR="003855B0" w:rsidRPr="003855B0" w:rsidRDefault="003855B0" w:rsidP="003855B0">
            <w:pPr>
              <w:spacing w:after="0"/>
              <w:rPr>
                <w:rFonts w:ascii="Calibri" w:eastAsia="Times New Roman" w:hAnsi="Calibri" w:cs="Calibri"/>
                <w:b/>
                <w:bCs/>
                <w:color w:val="000000"/>
                <w:sz w:val="22"/>
                <w:szCs w:val="22"/>
                <w:lang w:eastAsia="es-ES"/>
              </w:rPr>
            </w:pPr>
            <w:r w:rsidRPr="003855B0">
              <w:rPr>
                <w:rFonts w:ascii="Calibri" w:eastAsia="Times New Roman" w:hAnsi="Calibri" w:cs="Calibri"/>
                <w:b/>
                <w:bCs/>
                <w:color w:val="000000"/>
                <w:sz w:val="22"/>
                <w:szCs w:val="22"/>
                <w:lang w:eastAsia="es-ES"/>
              </w:rPr>
              <w:t>Base 2020</w:t>
            </w:r>
          </w:p>
        </w:tc>
        <w:tc>
          <w:tcPr>
            <w:tcW w:w="951" w:type="dxa"/>
            <w:tcBorders>
              <w:top w:val="single" w:sz="8" w:space="0" w:color="auto"/>
              <w:left w:val="nil"/>
              <w:bottom w:val="single" w:sz="8" w:space="0" w:color="auto"/>
              <w:right w:val="nil"/>
            </w:tcBorders>
            <w:shd w:val="clear" w:color="000000" w:fill="C6E0B4"/>
            <w:vAlign w:val="center"/>
            <w:hideMark/>
          </w:tcPr>
          <w:p w14:paraId="6BBEA5D3" w14:textId="77777777" w:rsidR="003855B0" w:rsidRPr="003855B0" w:rsidRDefault="003855B0" w:rsidP="003855B0">
            <w:pPr>
              <w:spacing w:after="0"/>
              <w:rPr>
                <w:rFonts w:ascii="Calibri" w:eastAsia="Times New Roman" w:hAnsi="Calibri" w:cs="Calibri"/>
                <w:b/>
                <w:bCs/>
                <w:color w:val="000000"/>
                <w:sz w:val="22"/>
                <w:szCs w:val="22"/>
                <w:lang w:eastAsia="es-ES"/>
              </w:rPr>
            </w:pPr>
            <w:r w:rsidRPr="003855B0">
              <w:rPr>
                <w:rFonts w:ascii="Calibri" w:eastAsia="Times New Roman" w:hAnsi="Calibri" w:cs="Calibri"/>
                <w:b/>
                <w:bCs/>
                <w:color w:val="000000"/>
                <w:sz w:val="22"/>
                <w:szCs w:val="22"/>
                <w:lang w:eastAsia="es-ES"/>
              </w:rPr>
              <w:t>Meta 2022</w:t>
            </w:r>
          </w:p>
        </w:tc>
        <w:tc>
          <w:tcPr>
            <w:tcW w:w="1473"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0BEC8D76" w14:textId="77777777" w:rsidR="003855B0" w:rsidRPr="003855B0" w:rsidRDefault="003855B0" w:rsidP="003855B0">
            <w:pPr>
              <w:spacing w:after="0"/>
              <w:rPr>
                <w:rFonts w:ascii="Calibri" w:eastAsia="Times New Roman" w:hAnsi="Calibri" w:cs="Calibri"/>
                <w:b/>
                <w:bCs/>
                <w:color w:val="000000"/>
                <w:sz w:val="22"/>
                <w:szCs w:val="22"/>
                <w:lang w:eastAsia="es-ES"/>
              </w:rPr>
            </w:pPr>
            <w:r w:rsidRPr="003855B0">
              <w:rPr>
                <w:rFonts w:ascii="Calibri" w:eastAsia="Times New Roman" w:hAnsi="Calibri" w:cs="Calibri"/>
                <w:b/>
                <w:bCs/>
                <w:color w:val="000000"/>
                <w:sz w:val="22"/>
                <w:szCs w:val="22"/>
                <w:lang w:eastAsia="es-ES"/>
              </w:rPr>
              <w:t>Promedio Abr - Jun 2022</w:t>
            </w:r>
          </w:p>
        </w:tc>
        <w:tc>
          <w:tcPr>
            <w:tcW w:w="1618" w:type="dxa"/>
            <w:tcBorders>
              <w:top w:val="single" w:sz="8" w:space="0" w:color="auto"/>
              <w:left w:val="nil"/>
              <w:bottom w:val="single" w:sz="8" w:space="0" w:color="auto"/>
              <w:right w:val="nil"/>
            </w:tcBorders>
            <w:shd w:val="clear" w:color="000000" w:fill="2F75B5"/>
            <w:vAlign w:val="bottom"/>
            <w:hideMark/>
          </w:tcPr>
          <w:p w14:paraId="0CFB9A72" w14:textId="77777777" w:rsidR="003855B0" w:rsidRPr="003855B0" w:rsidRDefault="003855B0" w:rsidP="003855B0">
            <w:pPr>
              <w:spacing w:after="0"/>
              <w:rPr>
                <w:rFonts w:ascii="Calibri" w:eastAsia="Times New Roman" w:hAnsi="Calibri" w:cs="Calibri"/>
                <w:b/>
                <w:bCs/>
                <w:color w:val="000000"/>
                <w:sz w:val="22"/>
                <w:szCs w:val="22"/>
                <w:lang w:eastAsia="es-ES"/>
              </w:rPr>
            </w:pPr>
            <w:r w:rsidRPr="003855B0">
              <w:rPr>
                <w:rFonts w:ascii="Calibri" w:eastAsia="Times New Roman" w:hAnsi="Calibri" w:cs="Calibri"/>
                <w:b/>
                <w:bCs/>
                <w:color w:val="000000"/>
                <w:sz w:val="22"/>
                <w:szCs w:val="22"/>
                <w:lang w:eastAsia="es-ES"/>
              </w:rPr>
              <w:t>Desviación Ejecutado vs. Meta</w:t>
            </w:r>
          </w:p>
        </w:tc>
        <w:tc>
          <w:tcPr>
            <w:tcW w:w="951" w:type="dxa"/>
            <w:tcBorders>
              <w:top w:val="nil"/>
              <w:left w:val="single" w:sz="8" w:space="0" w:color="auto"/>
              <w:bottom w:val="nil"/>
              <w:right w:val="single" w:sz="4" w:space="0" w:color="auto"/>
            </w:tcBorders>
            <w:shd w:val="clear" w:color="000000" w:fill="BDD7EE"/>
            <w:noWrap/>
            <w:vAlign w:val="center"/>
            <w:hideMark/>
          </w:tcPr>
          <w:p w14:paraId="2B60D232" w14:textId="77777777" w:rsidR="003855B0" w:rsidRPr="003855B0" w:rsidRDefault="003855B0" w:rsidP="003855B0">
            <w:pPr>
              <w:spacing w:after="0"/>
              <w:rPr>
                <w:rFonts w:ascii="Calibri" w:eastAsia="Times New Roman" w:hAnsi="Calibri" w:cs="Calibri"/>
                <w:b/>
                <w:bCs/>
                <w:color w:val="000000"/>
                <w:sz w:val="22"/>
                <w:szCs w:val="22"/>
                <w:lang w:eastAsia="es-ES"/>
              </w:rPr>
            </w:pPr>
            <w:r w:rsidRPr="003855B0">
              <w:rPr>
                <w:rFonts w:ascii="Calibri" w:eastAsia="Times New Roman" w:hAnsi="Calibri" w:cs="Calibri"/>
                <w:b/>
                <w:bCs/>
                <w:color w:val="000000"/>
                <w:sz w:val="22"/>
                <w:szCs w:val="22"/>
                <w:lang w:eastAsia="es-ES"/>
              </w:rPr>
              <w:t>Abr</w:t>
            </w:r>
          </w:p>
        </w:tc>
        <w:tc>
          <w:tcPr>
            <w:tcW w:w="951" w:type="dxa"/>
            <w:tcBorders>
              <w:top w:val="nil"/>
              <w:left w:val="nil"/>
              <w:bottom w:val="nil"/>
              <w:right w:val="single" w:sz="4" w:space="0" w:color="auto"/>
            </w:tcBorders>
            <w:shd w:val="clear" w:color="000000" w:fill="BDD7EE"/>
            <w:noWrap/>
            <w:vAlign w:val="center"/>
            <w:hideMark/>
          </w:tcPr>
          <w:p w14:paraId="3C6C8648" w14:textId="77777777" w:rsidR="003855B0" w:rsidRPr="003855B0" w:rsidRDefault="003855B0" w:rsidP="003855B0">
            <w:pPr>
              <w:spacing w:after="0"/>
              <w:rPr>
                <w:rFonts w:ascii="Calibri" w:eastAsia="Times New Roman" w:hAnsi="Calibri" w:cs="Calibri"/>
                <w:b/>
                <w:bCs/>
                <w:color w:val="000000"/>
                <w:sz w:val="22"/>
                <w:szCs w:val="22"/>
                <w:lang w:eastAsia="es-ES"/>
              </w:rPr>
            </w:pPr>
            <w:r w:rsidRPr="003855B0">
              <w:rPr>
                <w:rFonts w:ascii="Calibri" w:eastAsia="Times New Roman" w:hAnsi="Calibri" w:cs="Calibri"/>
                <w:b/>
                <w:bCs/>
                <w:color w:val="000000"/>
                <w:sz w:val="22"/>
                <w:szCs w:val="22"/>
                <w:lang w:eastAsia="es-ES"/>
              </w:rPr>
              <w:t>May</w:t>
            </w:r>
          </w:p>
        </w:tc>
        <w:tc>
          <w:tcPr>
            <w:tcW w:w="954" w:type="dxa"/>
            <w:tcBorders>
              <w:top w:val="nil"/>
              <w:left w:val="nil"/>
              <w:bottom w:val="nil"/>
              <w:right w:val="single" w:sz="8" w:space="0" w:color="auto"/>
            </w:tcBorders>
            <w:shd w:val="clear" w:color="000000" w:fill="BDD7EE"/>
            <w:noWrap/>
            <w:vAlign w:val="center"/>
            <w:hideMark/>
          </w:tcPr>
          <w:p w14:paraId="2A6841E3" w14:textId="77777777" w:rsidR="003855B0" w:rsidRPr="003855B0" w:rsidRDefault="003855B0" w:rsidP="003855B0">
            <w:pPr>
              <w:spacing w:after="0"/>
              <w:rPr>
                <w:rFonts w:ascii="Calibri" w:eastAsia="Times New Roman" w:hAnsi="Calibri" w:cs="Calibri"/>
                <w:b/>
                <w:bCs/>
                <w:color w:val="000000"/>
                <w:sz w:val="22"/>
                <w:szCs w:val="22"/>
                <w:lang w:eastAsia="es-ES"/>
              </w:rPr>
            </w:pPr>
            <w:r w:rsidRPr="003855B0">
              <w:rPr>
                <w:rFonts w:ascii="Calibri" w:eastAsia="Times New Roman" w:hAnsi="Calibri" w:cs="Calibri"/>
                <w:b/>
                <w:bCs/>
                <w:color w:val="000000"/>
                <w:sz w:val="22"/>
                <w:szCs w:val="22"/>
                <w:lang w:eastAsia="es-ES"/>
              </w:rPr>
              <w:t>Jun</w:t>
            </w:r>
          </w:p>
        </w:tc>
      </w:tr>
      <w:tr w:rsidR="003855B0" w:rsidRPr="003855B0" w14:paraId="7A7618C3" w14:textId="77777777" w:rsidTr="003855B0">
        <w:trPr>
          <w:trHeight w:val="307"/>
        </w:trPr>
        <w:tc>
          <w:tcPr>
            <w:tcW w:w="2133" w:type="dxa"/>
            <w:tcBorders>
              <w:top w:val="nil"/>
              <w:left w:val="nil"/>
              <w:bottom w:val="nil"/>
              <w:right w:val="nil"/>
            </w:tcBorders>
            <w:shd w:val="clear" w:color="auto" w:fill="auto"/>
            <w:noWrap/>
            <w:vAlign w:val="bottom"/>
            <w:hideMark/>
          </w:tcPr>
          <w:p w14:paraId="31644299" w14:textId="77777777" w:rsidR="003855B0" w:rsidRPr="003855B0" w:rsidRDefault="003855B0" w:rsidP="003855B0">
            <w:pPr>
              <w:spacing w:after="0"/>
              <w:jc w:val="left"/>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EDENORTE</w:t>
            </w:r>
          </w:p>
        </w:tc>
        <w:tc>
          <w:tcPr>
            <w:tcW w:w="951" w:type="dxa"/>
            <w:tcBorders>
              <w:top w:val="nil"/>
              <w:left w:val="single" w:sz="8" w:space="0" w:color="auto"/>
              <w:bottom w:val="single" w:sz="4" w:space="0" w:color="auto"/>
              <w:right w:val="single" w:sz="4" w:space="0" w:color="auto"/>
            </w:tcBorders>
            <w:shd w:val="clear" w:color="auto" w:fill="auto"/>
            <w:noWrap/>
            <w:vAlign w:val="bottom"/>
            <w:hideMark/>
          </w:tcPr>
          <w:p w14:paraId="6E5BB222"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97,8%</w:t>
            </w:r>
          </w:p>
        </w:tc>
        <w:tc>
          <w:tcPr>
            <w:tcW w:w="951" w:type="dxa"/>
            <w:tcBorders>
              <w:top w:val="nil"/>
              <w:left w:val="nil"/>
              <w:bottom w:val="single" w:sz="4" w:space="0" w:color="auto"/>
              <w:right w:val="nil"/>
            </w:tcBorders>
            <w:shd w:val="clear" w:color="auto" w:fill="auto"/>
            <w:noWrap/>
            <w:vAlign w:val="bottom"/>
            <w:hideMark/>
          </w:tcPr>
          <w:p w14:paraId="4ECDB84A"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92,0%</w:t>
            </w:r>
          </w:p>
        </w:tc>
        <w:tc>
          <w:tcPr>
            <w:tcW w:w="1473" w:type="dxa"/>
            <w:tcBorders>
              <w:top w:val="nil"/>
              <w:left w:val="single" w:sz="8" w:space="0" w:color="auto"/>
              <w:bottom w:val="single" w:sz="4" w:space="0" w:color="auto"/>
              <w:right w:val="single" w:sz="8" w:space="0" w:color="auto"/>
            </w:tcBorders>
            <w:shd w:val="clear" w:color="auto" w:fill="auto"/>
            <w:noWrap/>
            <w:vAlign w:val="bottom"/>
            <w:hideMark/>
          </w:tcPr>
          <w:p w14:paraId="4523C520"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99,2%</w:t>
            </w:r>
          </w:p>
        </w:tc>
        <w:tc>
          <w:tcPr>
            <w:tcW w:w="1618" w:type="dxa"/>
            <w:tcBorders>
              <w:top w:val="nil"/>
              <w:left w:val="nil"/>
              <w:bottom w:val="single" w:sz="4" w:space="0" w:color="auto"/>
              <w:right w:val="nil"/>
            </w:tcBorders>
            <w:shd w:val="clear" w:color="auto" w:fill="auto"/>
            <w:noWrap/>
            <w:vAlign w:val="bottom"/>
            <w:hideMark/>
          </w:tcPr>
          <w:p w14:paraId="084E3917"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7,2%</w:t>
            </w:r>
          </w:p>
        </w:tc>
        <w:tc>
          <w:tcPr>
            <w:tcW w:w="9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BF0E060"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99,4%</w:t>
            </w:r>
          </w:p>
        </w:tc>
        <w:tc>
          <w:tcPr>
            <w:tcW w:w="951" w:type="dxa"/>
            <w:tcBorders>
              <w:top w:val="single" w:sz="8" w:space="0" w:color="auto"/>
              <w:left w:val="nil"/>
              <w:bottom w:val="single" w:sz="4" w:space="0" w:color="auto"/>
              <w:right w:val="single" w:sz="4" w:space="0" w:color="auto"/>
            </w:tcBorders>
            <w:shd w:val="clear" w:color="auto" w:fill="auto"/>
            <w:noWrap/>
            <w:vAlign w:val="bottom"/>
            <w:hideMark/>
          </w:tcPr>
          <w:p w14:paraId="22DCA57C"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99,0%</w:t>
            </w:r>
          </w:p>
        </w:tc>
        <w:tc>
          <w:tcPr>
            <w:tcW w:w="954" w:type="dxa"/>
            <w:tcBorders>
              <w:top w:val="single" w:sz="8" w:space="0" w:color="auto"/>
              <w:left w:val="nil"/>
              <w:bottom w:val="single" w:sz="4" w:space="0" w:color="auto"/>
              <w:right w:val="single" w:sz="8" w:space="0" w:color="auto"/>
            </w:tcBorders>
            <w:shd w:val="clear" w:color="auto" w:fill="auto"/>
            <w:noWrap/>
            <w:vAlign w:val="bottom"/>
            <w:hideMark/>
          </w:tcPr>
          <w:p w14:paraId="05C53B06"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99,2%</w:t>
            </w:r>
          </w:p>
        </w:tc>
      </w:tr>
      <w:tr w:rsidR="003855B0" w:rsidRPr="003855B0" w14:paraId="3CC4B5D8" w14:textId="77777777" w:rsidTr="003855B0">
        <w:trPr>
          <w:trHeight w:val="307"/>
        </w:trPr>
        <w:tc>
          <w:tcPr>
            <w:tcW w:w="2133" w:type="dxa"/>
            <w:tcBorders>
              <w:top w:val="nil"/>
              <w:left w:val="nil"/>
              <w:bottom w:val="nil"/>
              <w:right w:val="nil"/>
            </w:tcBorders>
            <w:shd w:val="clear" w:color="auto" w:fill="auto"/>
            <w:noWrap/>
            <w:vAlign w:val="bottom"/>
            <w:hideMark/>
          </w:tcPr>
          <w:p w14:paraId="1FA0EAE6" w14:textId="77777777" w:rsidR="003855B0" w:rsidRPr="003855B0" w:rsidRDefault="003855B0" w:rsidP="003855B0">
            <w:pPr>
              <w:spacing w:after="0"/>
              <w:jc w:val="left"/>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EDESUR</w:t>
            </w:r>
          </w:p>
        </w:tc>
        <w:tc>
          <w:tcPr>
            <w:tcW w:w="951" w:type="dxa"/>
            <w:tcBorders>
              <w:top w:val="nil"/>
              <w:left w:val="single" w:sz="8" w:space="0" w:color="auto"/>
              <w:bottom w:val="single" w:sz="4" w:space="0" w:color="auto"/>
              <w:right w:val="single" w:sz="4" w:space="0" w:color="auto"/>
            </w:tcBorders>
            <w:shd w:val="clear" w:color="auto" w:fill="auto"/>
            <w:noWrap/>
            <w:vAlign w:val="bottom"/>
            <w:hideMark/>
          </w:tcPr>
          <w:p w14:paraId="7B604F58"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95,6%</w:t>
            </w:r>
          </w:p>
        </w:tc>
        <w:tc>
          <w:tcPr>
            <w:tcW w:w="951" w:type="dxa"/>
            <w:tcBorders>
              <w:top w:val="nil"/>
              <w:left w:val="nil"/>
              <w:bottom w:val="single" w:sz="4" w:space="0" w:color="auto"/>
              <w:right w:val="nil"/>
            </w:tcBorders>
            <w:shd w:val="clear" w:color="auto" w:fill="auto"/>
            <w:noWrap/>
            <w:vAlign w:val="bottom"/>
            <w:hideMark/>
          </w:tcPr>
          <w:p w14:paraId="38D0E259"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92,0%</w:t>
            </w:r>
          </w:p>
        </w:tc>
        <w:tc>
          <w:tcPr>
            <w:tcW w:w="1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0884214"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98,4%</w:t>
            </w:r>
          </w:p>
        </w:tc>
        <w:tc>
          <w:tcPr>
            <w:tcW w:w="1618" w:type="dxa"/>
            <w:tcBorders>
              <w:top w:val="nil"/>
              <w:left w:val="nil"/>
              <w:bottom w:val="single" w:sz="4" w:space="0" w:color="auto"/>
              <w:right w:val="nil"/>
            </w:tcBorders>
            <w:shd w:val="clear" w:color="auto" w:fill="auto"/>
            <w:noWrap/>
            <w:vAlign w:val="bottom"/>
            <w:hideMark/>
          </w:tcPr>
          <w:p w14:paraId="465BD9A0"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6,4%</w:t>
            </w:r>
          </w:p>
        </w:tc>
        <w:tc>
          <w:tcPr>
            <w:tcW w:w="951" w:type="dxa"/>
            <w:tcBorders>
              <w:top w:val="nil"/>
              <w:left w:val="single" w:sz="8" w:space="0" w:color="auto"/>
              <w:bottom w:val="single" w:sz="4" w:space="0" w:color="auto"/>
              <w:right w:val="single" w:sz="4" w:space="0" w:color="auto"/>
            </w:tcBorders>
            <w:shd w:val="clear" w:color="auto" w:fill="auto"/>
            <w:noWrap/>
            <w:vAlign w:val="bottom"/>
            <w:hideMark/>
          </w:tcPr>
          <w:p w14:paraId="4CB8993B"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98,8%</w:t>
            </w:r>
          </w:p>
        </w:tc>
        <w:tc>
          <w:tcPr>
            <w:tcW w:w="951" w:type="dxa"/>
            <w:tcBorders>
              <w:top w:val="nil"/>
              <w:left w:val="nil"/>
              <w:bottom w:val="single" w:sz="4" w:space="0" w:color="auto"/>
              <w:right w:val="single" w:sz="4" w:space="0" w:color="auto"/>
            </w:tcBorders>
            <w:shd w:val="clear" w:color="auto" w:fill="auto"/>
            <w:noWrap/>
            <w:vAlign w:val="bottom"/>
            <w:hideMark/>
          </w:tcPr>
          <w:p w14:paraId="60DB388F"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97,9%</w:t>
            </w:r>
          </w:p>
        </w:tc>
        <w:tc>
          <w:tcPr>
            <w:tcW w:w="954" w:type="dxa"/>
            <w:tcBorders>
              <w:top w:val="nil"/>
              <w:left w:val="nil"/>
              <w:bottom w:val="single" w:sz="4" w:space="0" w:color="auto"/>
              <w:right w:val="single" w:sz="8" w:space="0" w:color="auto"/>
            </w:tcBorders>
            <w:shd w:val="clear" w:color="auto" w:fill="auto"/>
            <w:noWrap/>
            <w:vAlign w:val="bottom"/>
            <w:hideMark/>
          </w:tcPr>
          <w:p w14:paraId="5515B4C4"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98,7%</w:t>
            </w:r>
          </w:p>
        </w:tc>
      </w:tr>
      <w:tr w:rsidR="003855B0" w:rsidRPr="003855B0" w14:paraId="6F47EC68" w14:textId="77777777" w:rsidTr="003855B0">
        <w:trPr>
          <w:trHeight w:val="307"/>
        </w:trPr>
        <w:tc>
          <w:tcPr>
            <w:tcW w:w="2133" w:type="dxa"/>
            <w:tcBorders>
              <w:top w:val="nil"/>
              <w:left w:val="nil"/>
              <w:bottom w:val="nil"/>
              <w:right w:val="nil"/>
            </w:tcBorders>
            <w:shd w:val="clear" w:color="auto" w:fill="auto"/>
            <w:noWrap/>
            <w:vAlign w:val="bottom"/>
            <w:hideMark/>
          </w:tcPr>
          <w:p w14:paraId="6180F5DC" w14:textId="77777777" w:rsidR="003855B0" w:rsidRPr="003855B0" w:rsidRDefault="003855B0" w:rsidP="003855B0">
            <w:pPr>
              <w:spacing w:after="0"/>
              <w:jc w:val="left"/>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EDEESTE</w:t>
            </w:r>
          </w:p>
        </w:tc>
        <w:tc>
          <w:tcPr>
            <w:tcW w:w="951" w:type="dxa"/>
            <w:tcBorders>
              <w:top w:val="nil"/>
              <w:left w:val="single" w:sz="8" w:space="0" w:color="auto"/>
              <w:bottom w:val="single" w:sz="8" w:space="0" w:color="auto"/>
              <w:right w:val="single" w:sz="4" w:space="0" w:color="auto"/>
            </w:tcBorders>
            <w:shd w:val="clear" w:color="auto" w:fill="auto"/>
            <w:noWrap/>
            <w:vAlign w:val="bottom"/>
            <w:hideMark/>
          </w:tcPr>
          <w:p w14:paraId="2B64E352"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95,0%</w:t>
            </w:r>
          </w:p>
        </w:tc>
        <w:tc>
          <w:tcPr>
            <w:tcW w:w="951" w:type="dxa"/>
            <w:tcBorders>
              <w:top w:val="nil"/>
              <w:left w:val="nil"/>
              <w:bottom w:val="single" w:sz="8" w:space="0" w:color="auto"/>
              <w:right w:val="nil"/>
            </w:tcBorders>
            <w:shd w:val="clear" w:color="auto" w:fill="auto"/>
            <w:noWrap/>
            <w:vAlign w:val="bottom"/>
            <w:hideMark/>
          </w:tcPr>
          <w:p w14:paraId="587197EE"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90,0%</w:t>
            </w:r>
          </w:p>
        </w:tc>
        <w:tc>
          <w:tcPr>
            <w:tcW w:w="1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8DE68D2"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98,2%</w:t>
            </w:r>
          </w:p>
        </w:tc>
        <w:tc>
          <w:tcPr>
            <w:tcW w:w="1618" w:type="dxa"/>
            <w:tcBorders>
              <w:top w:val="nil"/>
              <w:left w:val="nil"/>
              <w:bottom w:val="single" w:sz="8" w:space="0" w:color="auto"/>
              <w:right w:val="nil"/>
            </w:tcBorders>
            <w:shd w:val="clear" w:color="auto" w:fill="auto"/>
            <w:noWrap/>
            <w:vAlign w:val="bottom"/>
            <w:hideMark/>
          </w:tcPr>
          <w:p w14:paraId="2767EE39"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8,2%</w:t>
            </w:r>
          </w:p>
        </w:tc>
        <w:tc>
          <w:tcPr>
            <w:tcW w:w="951" w:type="dxa"/>
            <w:tcBorders>
              <w:top w:val="nil"/>
              <w:left w:val="single" w:sz="8" w:space="0" w:color="auto"/>
              <w:bottom w:val="single" w:sz="8" w:space="0" w:color="auto"/>
              <w:right w:val="single" w:sz="4" w:space="0" w:color="auto"/>
            </w:tcBorders>
            <w:shd w:val="clear" w:color="auto" w:fill="auto"/>
            <w:noWrap/>
            <w:vAlign w:val="bottom"/>
            <w:hideMark/>
          </w:tcPr>
          <w:p w14:paraId="592AC172"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99,0%</w:t>
            </w:r>
          </w:p>
        </w:tc>
        <w:tc>
          <w:tcPr>
            <w:tcW w:w="951" w:type="dxa"/>
            <w:tcBorders>
              <w:top w:val="nil"/>
              <w:left w:val="nil"/>
              <w:bottom w:val="single" w:sz="8" w:space="0" w:color="auto"/>
              <w:right w:val="single" w:sz="4" w:space="0" w:color="auto"/>
            </w:tcBorders>
            <w:shd w:val="clear" w:color="auto" w:fill="auto"/>
            <w:noWrap/>
            <w:vAlign w:val="bottom"/>
            <w:hideMark/>
          </w:tcPr>
          <w:p w14:paraId="584C09DB"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97,9%</w:t>
            </w:r>
          </w:p>
        </w:tc>
        <w:tc>
          <w:tcPr>
            <w:tcW w:w="954" w:type="dxa"/>
            <w:tcBorders>
              <w:top w:val="nil"/>
              <w:left w:val="nil"/>
              <w:bottom w:val="single" w:sz="8" w:space="0" w:color="auto"/>
              <w:right w:val="single" w:sz="8" w:space="0" w:color="auto"/>
            </w:tcBorders>
            <w:shd w:val="clear" w:color="auto" w:fill="auto"/>
            <w:noWrap/>
            <w:vAlign w:val="bottom"/>
            <w:hideMark/>
          </w:tcPr>
          <w:p w14:paraId="7822EF6C"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97,5%</w:t>
            </w:r>
          </w:p>
        </w:tc>
      </w:tr>
      <w:tr w:rsidR="003855B0" w:rsidRPr="003855B0" w14:paraId="5989C463" w14:textId="77777777" w:rsidTr="003855B0">
        <w:trPr>
          <w:trHeight w:val="307"/>
        </w:trPr>
        <w:tc>
          <w:tcPr>
            <w:tcW w:w="2133" w:type="dxa"/>
            <w:tcBorders>
              <w:top w:val="nil"/>
              <w:left w:val="nil"/>
              <w:bottom w:val="nil"/>
              <w:right w:val="nil"/>
            </w:tcBorders>
            <w:shd w:val="clear" w:color="auto" w:fill="auto"/>
            <w:noWrap/>
            <w:vAlign w:val="bottom"/>
            <w:hideMark/>
          </w:tcPr>
          <w:p w14:paraId="35453A75" w14:textId="77777777" w:rsidR="003855B0" w:rsidRPr="003855B0" w:rsidRDefault="003855B0" w:rsidP="003855B0">
            <w:pPr>
              <w:spacing w:after="0"/>
              <w:jc w:val="left"/>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Promedio</w:t>
            </w:r>
          </w:p>
        </w:tc>
        <w:tc>
          <w:tcPr>
            <w:tcW w:w="951" w:type="dxa"/>
            <w:tcBorders>
              <w:top w:val="nil"/>
              <w:left w:val="single" w:sz="8" w:space="0" w:color="auto"/>
              <w:bottom w:val="single" w:sz="8" w:space="0" w:color="auto"/>
              <w:right w:val="single" w:sz="4" w:space="0" w:color="auto"/>
            </w:tcBorders>
            <w:shd w:val="clear" w:color="auto" w:fill="auto"/>
            <w:noWrap/>
            <w:vAlign w:val="bottom"/>
            <w:hideMark/>
          </w:tcPr>
          <w:p w14:paraId="3BE06AE7"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96,0%</w:t>
            </w:r>
          </w:p>
        </w:tc>
        <w:tc>
          <w:tcPr>
            <w:tcW w:w="951" w:type="dxa"/>
            <w:tcBorders>
              <w:top w:val="nil"/>
              <w:left w:val="nil"/>
              <w:bottom w:val="single" w:sz="8" w:space="0" w:color="auto"/>
              <w:right w:val="nil"/>
            </w:tcBorders>
            <w:shd w:val="clear" w:color="auto" w:fill="auto"/>
            <w:noWrap/>
            <w:vAlign w:val="bottom"/>
            <w:hideMark/>
          </w:tcPr>
          <w:p w14:paraId="2B71F5F0"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91,5%</w:t>
            </w:r>
          </w:p>
        </w:tc>
        <w:tc>
          <w:tcPr>
            <w:tcW w:w="1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DF4BFBE"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98,6%</w:t>
            </w:r>
          </w:p>
        </w:tc>
        <w:tc>
          <w:tcPr>
            <w:tcW w:w="1618" w:type="dxa"/>
            <w:tcBorders>
              <w:top w:val="nil"/>
              <w:left w:val="nil"/>
              <w:bottom w:val="single" w:sz="8" w:space="0" w:color="auto"/>
              <w:right w:val="nil"/>
            </w:tcBorders>
            <w:shd w:val="clear" w:color="auto" w:fill="auto"/>
            <w:noWrap/>
            <w:vAlign w:val="bottom"/>
            <w:hideMark/>
          </w:tcPr>
          <w:p w14:paraId="416CC7C5"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7,1%</w:t>
            </w:r>
          </w:p>
        </w:tc>
        <w:tc>
          <w:tcPr>
            <w:tcW w:w="951" w:type="dxa"/>
            <w:tcBorders>
              <w:top w:val="nil"/>
              <w:left w:val="single" w:sz="8" w:space="0" w:color="auto"/>
              <w:bottom w:val="single" w:sz="8" w:space="0" w:color="auto"/>
              <w:right w:val="single" w:sz="4" w:space="0" w:color="auto"/>
            </w:tcBorders>
            <w:shd w:val="clear" w:color="auto" w:fill="auto"/>
            <w:noWrap/>
            <w:vAlign w:val="bottom"/>
            <w:hideMark/>
          </w:tcPr>
          <w:p w14:paraId="0538B20D"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99,0%</w:t>
            </w:r>
          </w:p>
        </w:tc>
        <w:tc>
          <w:tcPr>
            <w:tcW w:w="951" w:type="dxa"/>
            <w:tcBorders>
              <w:top w:val="nil"/>
              <w:left w:val="single" w:sz="8" w:space="0" w:color="auto"/>
              <w:bottom w:val="single" w:sz="8" w:space="0" w:color="auto"/>
              <w:right w:val="single" w:sz="4" w:space="0" w:color="auto"/>
            </w:tcBorders>
            <w:shd w:val="clear" w:color="auto" w:fill="auto"/>
            <w:noWrap/>
            <w:vAlign w:val="bottom"/>
            <w:hideMark/>
          </w:tcPr>
          <w:p w14:paraId="6B135C42"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98,3%</w:t>
            </w:r>
          </w:p>
        </w:tc>
        <w:tc>
          <w:tcPr>
            <w:tcW w:w="954" w:type="dxa"/>
            <w:tcBorders>
              <w:top w:val="nil"/>
              <w:left w:val="single" w:sz="8" w:space="0" w:color="auto"/>
              <w:bottom w:val="single" w:sz="8" w:space="0" w:color="auto"/>
              <w:right w:val="single" w:sz="4" w:space="0" w:color="auto"/>
            </w:tcBorders>
            <w:shd w:val="clear" w:color="auto" w:fill="auto"/>
            <w:noWrap/>
            <w:vAlign w:val="bottom"/>
            <w:hideMark/>
          </w:tcPr>
          <w:p w14:paraId="60C75160" w14:textId="77777777" w:rsidR="003855B0" w:rsidRPr="003855B0" w:rsidRDefault="003855B0" w:rsidP="003855B0">
            <w:pPr>
              <w:spacing w:after="0"/>
              <w:rPr>
                <w:rFonts w:ascii="Calibri" w:eastAsia="Times New Roman" w:hAnsi="Calibri" w:cs="Calibri"/>
                <w:color w:val="000000"/>
                <w:sz w:val="22"/>
                <w:szCs w:val="22"/>
                <w:lang w:eastAsia="es-ES"/>
              </w:rPr>
            </w:pPr>
            <w:r w:rsidRPr="003855B0">
              <w:rPr>
                <w:rFonts w:ascii="Calibri" w:eastAsia="Times New Roman" w:hAnsi="Calibri" w:cs="Calibri"/>
                <w:color w:val="000000"/>
                <w:sz w:val="22"/>
                <w:szCs w:val="22"/>
                <w:lang w:eastAsia="es-ES"/>
              </w:rPr>
              <w:t>98,5%</w:t>
            </w:r>
          </w:p>
        </w:tc>
      </w:tr>
    </w:tbl>
    <w:p w14:paraId="02AF6552" w14:textId="77777777" w:rsidR="007E0762" w:rsidRDefault="007E0762" w:rsidP="007E0762">
      <w:pPr>
        <w:jc w:val="both"/>
        <w:rPr>
          <w:rFonts w:ascii="Arial Narrow" w:hAnsi="Arial Narrow" w:cs="Arial"/>
          <w:sz w:val="26"/>
          <w:szCs w:val="26"/>
        </w:rPr>
      </w:pPr>
    </w:p>
    <w:p w14:paraId="135DDD0C" w14:textId="7520F096" w:rsidR="00EC04D1" w:rsidRDefault="00B83CCA" w:rsidP="00D1159B">
      <w:pPr>
        <w:jc w:val="both"/>
        <w:rPr>
          <w:rFonts w:ascii="Arial Narrow" w:hAnsi="Arial Narrow" w:cs="Arial"/>
          <w:sz w:val="26"/>
          <w:szCs w:val="26"/>
        </w:rPr>
      </w:pPr>
      <w:r>
        <w:rPr>
          <w:rFonts w:ascii="Arial Narrow" w:hAnsi="Arial Narrow" w:cs="Arial"/>
          <w:sz w:val="26"/>
          <w:szCs w:val="26"/>
        </w:rPr>
        <w:t>Al finalizar el año 202</w:t>
      </w:r>
      <w:r w:rsidR="00EC04D1">
        <w:rPr>
          <w:rFonts w:ascii="Arial Narrow" w:hAnsi="Arial Narrow" w:cs="Arial"/>
          <w:sz w:val="26"/>
          <w:szCs w:val="26"/>
        </w:rPr>
        <w:t>2</w:t>
      </w:r>
      <w:r>
        <w:rPr>
          <w:rFonts w:ascii="Arial Narrow" w:hAnsi="Arial Narrow" w:cs="Arial"/>
          <w:sz w:val="26"/>
          <w:szCs w:val="26"/>
        </w:rPr>
        <w:t xml:space="preserve"> se espera que EDENORTE y EDESUR logren abastecer el 92% planificado, mientras </w:t>
      </w:r>
      <w:r w:rsidR="00EC04D1">
        <w:rPr>
          <w:rFonts w:ascii="Arial Narrow" w:hAnsi="Arial Narrow" w:cs="Arial"/>
          <w:sz w:val="26"/>
          <w:szCs w:val="26"/>
        </w:rPr>
        <w:t>que EDEESTE</w:t>
      </w:r>
      <w:r>
        <w:rPr>
          <w:rFonts w:ascii="Arial Narrow" w:hAnsi="Arial Narrow" w:cs="Arial"/>
          <w:sz w:val="26"/>
          <w:szCs w:val="26"/>
        </w:rPr>
        <w:t xml:space="preserve"> se espera un </w:t>
      </w:r>
      <w:r w:rsidR="006D0612">
        <w:rPr>
          <w:rFonts w:ascii="Arial Narrow" w:hAnsi="Arial Narrow" w:cs="Arial"/>
          <w:sz w:val="26"/>
          <w:szCs w:val="26"/>
        </w:rPr>
        <w:t>90</w:t>
      </w:r>
      <w:r>
        <w:rPr>
          <w:rFonts w:ascii="Arial Narrow" w:hAnsi="Arial Narrow" w:cs="Arial"/>
          <w:sz w:val="26"/>
          <w:szCs w:val="26"/>
        </w:rPr>
        <w:t xml:space="preserve">%. </w:t>
      </w:r>
      <w:r w:rsidR="009C7C88">
        <w:rPr>
          <w:rFonts w:ascii="Arial Narrow" w:hAnsi="Arial Narrow" w:cs="Arial"/>
          <w:sz w:val="26"/>
          <w:szCs w:val="26"/>
        </w:rPr>
        <w:t xml:space="preserve">Al segundo trimestre </w:t>
      </w:r>
      <w:r>
        <w:rPr>
          <w:rFonts w:ascii="Arial Narrow" w:hAnsi="Arial Narrow" w:cs="Arial"/>
          <w:sz w:val="26"/>
          <w:szCs w:val="26"/>
        </w:rPr>
        <w:t>del presente año, EDEESTE ha tenido un abastecimiento promedio de 98.</w:t>
      </w:r>
      <w:r w:rsidR="009C7C88">
        <w:rPr>
          <w:rFonts w:ascii="Arial Narrow" w:hAnsi="Arial Narrow" w:cs="Arial"/>
          <w:sz w:val="26"/>
          <w:szCs w:val="26"/>
        </w:rPr>
        <w:t>2</w:t>
      </w:r>
      <w:r>
        <w:rPr>
          <w:rFonts w:ascii="Arial Narrow" w:hAnsi="Arial Narrow" w:cs="Arial"/>
          <w:sz w:val="26"/>
          <w:szCs w:val="26"/>
        </w:rPr>
        <w:t>%, EDENORTE es de 99.2%, mientras que EDESUR tiene un 9</w:t>
      </w:r>
      <w:r w:rsidR="00EC04D1">
        <w:rPr>
          <w:rFonts w:ascii="Arial Narrow" w:hAnsi="Arial Narrow" w:cs="Arial"/>
          <w:sz w:val="26"/>
          <w:szCs w:val="26"/>
        </w:rPr>
        <w:t>8,</w:t>
      </w:r>
      <w:r w:rsidR="009C7C88">
        <w:rPr>
          <w:rFonts w:ascii="Arial Narrow" w:hAnsi="Arial Narrow" w:cs="Arial"/>
          <w:sz w:val="26"/>
          <w:szCs w:val="26"/>
        </w:rPr>
        <w:t>4</w:t>
      </w:r>
      <w:r>
        <w:rPr>
          <w:rFonts w:ascii="Arial Narrow" w:hAnsi="Arial Narrow" w:cs="Arial"/>
          <w:sz w:val="26"/>
          <w:szCs w:val="26"/>
        </w:rPr>
        <w:t xml:space="preserve">%. </w:t>
      </w:r>
    </w:p>
    <w:p w14:paraId="6717B56E" w14:textId="26C51DA2" w:rsidR="00AE33F7" w:rsidRDefault="00AE33F7" w:rsidP="00D1159B">
      <w:pPr>
        <w:jc w:val="both"/>
        <w:rPr>
          <w:rFonts w:ascii="Arial Narrow" w:hAnsi="Arial Narrow" w:cs="Arial"/>
          <w:sz w:val="26"/>
          <w:szCs w:val="26"/>
        </w:rPr>
      </w:pPr>
    </w:p>
    <w:p w14:paraId="730EA4BE" w14:textId="77777777" w:rsidR="00771855" w:rsidRDefault="00771855" w:rsidP="00D1159B">
      <w:pPr>
        <w:jc w:val="both"/>
        <w:rPr>
          <w:rFonts w:ascii="Arial Narrow" w:hAnsi="Arial Narrow" w:cs="Arial"/>
          <w:sz w:val="26"/>
          <w:szCs w:val="26"/>
        </w:rPr>
      </w:pPr>
    </w:p>
    <w:p w14:paraId="407CA3C0" w14:textId="6B01B564" w:rsidR="00D1159B" w:rsidRPr="008B564D" w:rsidRDefault="00990710" w:rsidP="00D1159B">
      <w:pPr>
        <w:pStyle w:val="Ttulo1"/>
        <w:numPr>
          <w:ilvl w:val="0"/>
          <w:numId w:val="21"/>
        </w:numPr>
        <w:jc w:val="left"/>
        <w:rPr>
          <w:rFonts w:ascii="Arial Narrow" w:hAnsi="Arial Narrow" w:cs="Arial"/>
          <w:b/>
          <w:sz w:val="26"/>
          <w:szCs w:val="26"/>
        </w:rPr>
      </w:pPr>
      <w:bookmarkStart w:id="18" w:name="_Toc114065696"/>
      <w:r>
        <w:rPr>
          <w:rFonts w:ascii="Arial Narrow" w:hAnsi="Arial Narrow" w:cs="Arial"/>
          <w:b/>
          <w:sz w:val="26"/>
          <w:szCs w:val="26"/>
        </w:rPr>
        <w:t>RELACIÓN GASTOS OPERATIVOS / INGRESOS</w:t>
      </w:r>
      <w:r w:rsidR="00D1159B">
        <w:rPr>
          <w:rFonts w:ascii="Arial Narrow" w:hAnsi="Arial Narrow" w:cs="Arial"/>
          <w:b/>
          <w:sz w:val="26"/>
          <w:szCs w:val="26"/>
        </w:rPr>
        <w:t xml:space="preserve"> (%</w:t>
      </w:r>
      <w:proofErr w:type="gramStart"/>
      <w:r w:rsidR="00771855">
        <w:rPr>
          <w:rFonts w:ascii="Arial Narrow" w:hAnsi="Arial Narrow" w:cs="Arial"/>
          <w:b/>
          <w:sz w:val="26"/>
          <w:szCs w:val="26"/>
        </w:rPr>
        <w:t xml:space="preserve">),  </w:t>
      </w:r>
      <w:r>
        <w:rPr>
          <w:rFonts w:ascii="Arial Narrow" w:hAnsi="Arial Narrow" w:cs="Arial"/>
          <w:b/>
          <w:sz w:val="26"/>
          <w:szCs w:val="26"/>
        </w:rPr>
        <w:t xml:space="preserve"> </w:t>
      </w:r>
      <w:proofErr w:type="gramEnd"/>
      <w:r>
        <w:rPr>
          <w:rFonts w:ascii="Arial Narrow" w:hAnsi="Arial Narrow" w:cs="Arial"/>
          <w:b/>
          <w:sz w:val="26"/>
          <w:szCs w:val="26"/>
        </w:rPr>
        <w:t xml:space="preserve">              </w:t>
      </w:r>
      <w:r w:rsidR="009C7C88">
        <w:rPr>
          <w:rFonts w:ascii="Arial Narrow" w:hAnsi="Arial Narrow" w:cs="Arial"/>
          <w:b/>
          <w:sz w:val="26"/>
          <w:szCs w:val="26"/>
        </w:rPr>
        <w:t>ABRIL</w:t>
      </w:r>
      <w:r w:rsidR="00D1159B">
        <w:rPr>
          <w:rFonts w:ascii="Arial Narrow" w:hAnsi="Arial Narrow" w:cs="Arial"/>
          <w:b/>
          <w:sz w:val="26"/>
          <w:szCs w:val="26"/>
        </w:rPr>
        <w:t xml:space="preserve"> – </w:t>
      </w:r>
      <w:r w:rsidR="009C7C88">
        <w:rPr>
          <w:rFonts w:ascii="Arial Narrow" w:hAnsi="Arial Narrow" w:cs="Arial"/>
          <w:b/>
          <w:sz w:val="26"/>
          <w:szCs w:val="26"/>
        </w:rPr>
        <w:t>JUNIO</w:t>
      </w:r>
      <w:r w:rsidR="00D1159B">
        <w:rPr>
          <w:rFonts w:ascii="Arial Narrow" w:hAnsi="Arial Narrow" w:cs="Arial"/>
          <w:b/>
          <w:sz w:val="26"/>
          <w:szCs w:val="26"/>
        </w:rPr>
        <w:t xml:space="preserve"> 202</w:t>
      </w:r>
      <w:r w:rsidR="00EC04D1">
        <w:rPr>
          <w:rFonts w:ascii="Arial Narrow" w:hAnsi="Arial Narrow" w:cs="Arial"/>
          <w:b/>
          <w:sz w:val="26"/>
          <w:szCs w:val="26"/>
        </w:rPr>
        <w:t>2</w:t>
      </w:r>
      <w:r w:rsidR="00D1159B">
        <w:rPr>
          <w:rFonts w:ascii="Arial Narrow" w:hAnsi="Arial Narrow" w:cs="Arial"/>
          <w:b/>
          <w:sz w:val="26"/>
          <w:szCs w:val="26"/>
        </w:rPr>
        <w:t>.</w:t>
      </w:r>
      <w:bookmarkEnd w:id="18"/>
    </w:p>
    <w:p w14:paraId="08A2DD43" w14:textId="77777777" w:rsidR="00D1159B" w:rsidRDefault="00D1159B" w:rsidP="00D1159B">
      <w:pPr>
        <w:spacing w:line="276" w:lineRule="auto"/>
        <w:jc w:val="both"/>
        <w:rPr>
          <w:rFonts w:ascii="Arial Narrow" w:hAnsi="Arial Narrow" w:cs="Arial"/>
          <w:sz w:val="26"/>
          <w:szCs w:val="26"/>
        </w:rPr>
      </w:pPr>
    </w:p>
    <w:p w14:paraId="2D7FCF5F" w14:textId="77777777" w:rsidR="00B83CCA" w:rsidRPr="00594D35" w:rsidRDefault="00B83CCA" w:rsidP="00B83CCA">
      <w:pPr>
        <w:spacing w:line="276" w:lineRule="auto"/>
        <w:jc w:val="both"/>
        <w:rPr>
          <w:rFonts w:ascii="Arial Narrow" w:hAnsi="Arial Narrow" w:cs="Arial"/>
          <w:sz w:val="26"/>
          <w:szCs w:val="26"/>
        </w:rPr>
      </w:pPr>
      <w:r>
        <w:rPr>
          <w:rFonts w:ascii="Arial Narrow" w:hAnsi="Arial Narrow" w:cs="Arial"/>
          <w:sz w:val="26"/>
          <w:szCs w:val="26"/>
        </w:rPr>
        <w:t>Con el indicador “Relación Gastos Operativos / Ingresos” se busca reducir los gastos de personal, proveedores y otros en los que incurren las Empresas Distribuidoras. La definición de este indicador, establecido formalmente en la resolución SIE-061-2021-MEMI, es</w:t>
      </w:r>
      <w:r w:rsidRPr="00594D35">
        <w:rPr>
          <w:rFonts w:ascii="Arial Narrow" w:hAnsi="Arial Narrow" w:cs="Arial"/>
          <w:sz w:val="26"/>
          <w:szCs w:val="26"/>
        </w:rPr>
        <w:t>:</w:t>
      </w:r>
    </w:p>
    <w:p w14:paraId="1B433D11" w14:textId="77777777" w:rsidR="00B83CCA" w:rsidRPr="00C06B7E" w:rsidRDefault="00B83CCA" w:rsidP="00B83CCA">
      <w:pPr>
        <w:ind w:left="709"/>
        <w:jc w:val="both"/>
        <w:rPr>
          <w:rFonts w:ascii="Arial Narrow" w:hAnsi="Arial Narrow" w:cs="Arial"/>
          <w:sz w:val="26"/>
          <w:szCs w:val="26"/>
        </w:rPr>
      </w:pPr>
    </w:p>
    <w:p w14:paraId="7D8A6893" w14:textId="77777777" w:rsidR="00B83CCA" w:rsidRPr="00C06B7E" w:rsidRDefault="00B63E31" w:rsidP="00B83CCA">
      <w:pPr>
        <w:rPr>
          <w:rFonts w:ascii="Arial Narrow" w:hAnsi="Arial Narrow" w:cs="Arial"/>
          <w:sz w:val="26"/>
          <w:szCs w:val="26"/>
        </w:rPr>
      </w:pPr>
      <m:oMathPara>
        <m:oMath>
          <m:sSub>
            <m:sSubPr>
              <m:ctrlPr>
                <w:rPr>
                  <w:rFonts w:ascii="Cambria Math" w:hAnsi="Cambria Math" w:cs="Arial"/>
                  <w:sz w:val="26"/>
                  <w:szCs w:val="26"/>
                </w:rPr>
              </m:ctrlPr>
            </m:sSubPr>
            <m:e>
              <m:r>
                <w:rPr>
                  <w:rFonts w:ascii="Cambria Math" w:hAnsi="Cambria Math" w:cs="Arial"/>
                  <w:sz w:val="26"/>
                  <w:szCs w:val="26"/>
                </w:rPr>
                <m:t>GI</m:t>
              </m:r>
            </m:e>
            <m:sub>
              <m:r>
                <w:rPr>
                  <w:rFonts w:ascii="Cambria Math" w:hAnsi="Cambria Math" w:cs="Arial"/>
                  <w:sz w:val="26"/>
                  <w:szCs w:val="26"/>
                </w:rPr>
                <m:t>t</m:t>
              </m:r>
            </m:sub>
          </m:sSub>
          <m:r>
            <m:rPr>
              <m:sty m:val="p"/>
            </m:rPr>
            <w:rPr>
              <w:rFonts w:ascii="Cambria Math" w:hAnsi="Cambria Math" w:cs="Arial"/>
              <w:sz w:val="26"/>
              <w:szCs w:val="26"/>
            </w:rPr>
            <m:t xml:space="preserve">= </m:t>
          </m:r>
          <m:d>
            <m:dPr>
              <m:begChr m:val="["/>
              <m:endChr m:val="]"/>
              <m:ctrlPr>
                <w:rPr>
                  <w:rFonts w:ascii="Cambria Math" w:hAnsi="Cambria Math" w:cs="Arial"/>
                  <w:sz w:val="26"/>
                  <w:szCs w:val="26"/>
                </w:rPr>
              </m:ctrlPr>
            </m:dPr>
            <m:e>
              <m:f>
                <m:fPr>
                  <m:ctrlPr>
                    <w:rPr>
                      <w:rFonts w:ascii="Cambria Math" w:hAnsi="Cambria Math" w:cs="Arial"/>
                      <w:sz w:val="26"/>
                      <w:szCs w:val="26"/>
                    </w:rPr>
                  </m:ctrlPr>
                </m:fPr>
                <m:num>
                  <m:nary>
                    <m:naryPr>
                      <m:chr m:val="∑"/>
                      <m:limLoc m:val="undOvr"/>
                      <m:subHide m:val="1"/>
                      <m:supHide m:val="1"/>
                      <m:ctrlPr>
                        <w:rPr>
                          <w:rFonts w:ascii="Cambria Math" w:hAnsi="Cambria Math" w:cs="Arial"/>
                          <w:sz w:val="26"/>
                          <w:szCs w:val="26"/>
                        </w:rPr>
                      </m:ctrlPr>
                    </m:naryPr>
                    <m:sub/>
                    <m:sup/>
                    <m:e>
                      <m:sSub>
                        <m:sSubPr>
                          <m:ctrlPr>
                            <w:rPr>
                              <w:rFonts w:ascii="Cambria Math" w:hAnsi="Cambria Math" w:cs="Arial"/>
                              <w:sz w:val="26"/>
                              <w:szCs w:val="26"/>
                            </w:rPr>
                          </m:ctrlPr>
                        </m:sSubPr>
                        <m:e>
                          <m:r>
                            <w:rPr>
                              <w:rFonts w:ascii="Cambria Math" w:hAnsi="Cambria Math" w:cs="Arial"/>
                              <w:sz w:val="26"/>
                              <w:szCs w:val="26"/>
                            </w:rPr>
                            <m:t>GO</m:t>
                          </m:r>
                        </m:e>
                        <m:sub>
                          <m:r>
                            <w:rPr>
                              <w:rFonts w:ascii="Cambria Math" w:hAnsi="Cambria Math" w:cs="Arial"/>
                              <w:sz w:val="26"/>
                              <w:szCs w:val="26"/>
                            </w:rPr>
                            <m:t>t</m:t>
                          </m:r>
                        </m:sub>
                      </m:sSub>
                    </m:e>
                  </m:nary>
                </m:num>
                <m:den>
                  <m:nary>
                    <m:naryPr>
                      <m:chr m:val="∑"/>
                      <m:limLoc m:val="undOvr"/>
                      <m:subHide m:val="1"/>
                      <m:supHide m:val="1"/>
                      <m:ctrlPr>
                        <w:rPr>
                          <w:rFonts w:ascii="Cambria Math" w:hAnsi="Cambria Math" w:cs="Arial"/>
                          <w:sz w:val="26"/>
                          <w:szCs w:val="26"/>
                        </w:rPr>
                      </m:ctrlPr>
                    </m:naryPr>
                    <m:sub/>
                    <m:sup/>
                    <m:e>
                      <m:sSub>
                        <m:sSubPr>
                          <m:ctrlPr>
                            <w:rPr>
                              <w:rFonts w:ascii="Cambria Math" w:hAnsi="Cambria Math" w:cs="Arial"/>
                              <w:sz w:val="26"/>
                              <w:szCs w:val="26"/>
                            </w:rPr>
                          </m:ctrlPr>
                        </m:sSubPr>
                        <m:e>
                          <m:r>
                            <w:rPr>
                              <w:rFonts w:ascii="Cambria Math" w:hAnsi="Cambria Math" w:cs="Arial"/>
                              <w:sz w:val="26"/>
                              <w:szCs w:val="26"/>
                            </w:rPr>
                            <m:t>IT</m:t>
                          </m:r>
                        </m:e>
                        <m:sub>
                          <m:r>
                            <w:rPr>
                              <w:rFonts w:ascii="Cambria Math" w:hAnsi="Cambria Math" w:cs="Arial"/>
                              <w:sz w:val="26"/>
                              <w:szCs w:val="26"/>
                            </w:rPr>
                            <m:t>t</m:t>
                          </m:r>
                        </m:sub>
                      </m:sSub>
                    </m:e>
                  </m:nary>
                </m:den>
              </m:f>
            </m:e>
          </m:d>
          <m:r>
            <m:rPr>
              <m:sty m:val="p"/>
            </m:rPr>
            <w:rPr>
              <w:rFonts w:ascii="Cambria Math" w:hAnsi="Cambria Math" w:cs="Arial"/>
              <w:sz w:val="26"/>
              <w:szCs w:val="26"/>
            </w:rPr>
            <m:t>*</m:t>
          </m:r>
          <m:r>
            <m:rPr>
              <m:sty m:val="p"/>
            </m:rPr>
            <w:rPr>
              <w:rFonts w:ascii="Cambria Math" w:hAnsi="Cambria Math" w:cs="Arial"/>
              <w:sz w:val="26"/>
              <w:szCs w:val="26"/>
            </w:rPr>
            <m:t>100</m:t>
          </m:r>
        </m:oMath>
      </m:oMathPara>
    </w:p>
    <w:p w14:paraId="41DAC078" w14:textId="77777777" w:rsidR="00B83CCA" w:rsidRPr="00C06B7E" w:rsidRDefault="00B83CCA" w:rsidP="00B83CCA">
      <w:pPr>
        <w:jc w:val="both"/>
        <w:rPr>
          <w:rFonts w:ascii="Arial Narrow" w:hAnsi="Arial Narrow" w:cs="Arial"/>
          <w:sz w:val="26"/>
          <w:szCs w:val="26"/>
        </w:rPr>
      </w:pPr>
      <w:r w:rsidRPr="00C06B7E">
        <w:rPr>
          <w:rFonts w:ascii="Arial Narrow" w:hAnsi="Arial Narrow" w:cs="Arial"/>
          <w:sz w:val="26"/>
          <w:szCs w:val="26"/>
        </w:rPr>
        <w:t xml:space="preserve">Donde: </w:t>
      </w:r>
    </w:p>
    <w:p w14:paraId="0016992F" w14:textId="77777777" w:rsidR="00B83CCA" w:rsidRPr="00C06B7E" w:rsidRDefault="00B83CCA" w:rsidP="00B83CCA">
      <w:pPr>
        <w:jc w:val="both"/>
        <w:rPr>
          <w:rFonts w:ascii="Arial Narrow" w:hAnsi="Arial Narrow" w:cs="Arial"/>
          <w:sz w:val="26"/>
          <w:szCs w:val="26"/>
        </w:rPr>
      </w:pPr>
    </w:p>
    <w:p w14:paraId="7DFF4E87" w14:textId="77777777" w:rsidR="00B83CCA" w:rsidRPr="00C06B7E" w:rsidRDefault="00B63E31" w:rsidP="00B83CCA">
      <w:pPr>
        <w:ind w:left="705" w:hanging="705"/>
        <w:jc w:val="both"/>
        <w:rPr>
          <w:rFonts w:ascii="Arial Narrow" w:hAnsi="Arial Narrow" w:cs="Arial"/>
          <w:sz w:val="26"/>
          <w:szCs w:val="26"/>
        </w:rPr>
      </w:pPr>
      <m:oMath>
        <m:sSub>
          <m:sSubPr>
            <m:ctrlPr>
              <w:rPr>
                <w:rFonts w:ascii="Cambria Math" w:hAnsi="Cambria Math" w:cs="Arial"/>
                <w:sz w:val="26"/>
                <w:szCs w:val="26"/>
              </w:rPr>
            </m:ctrlPr>
          </m:sSubPr>
          <m:e>
            <m:r>
              <w:rPr>
                <w:rFonts w:ascii="Cambria Math" w:hAnsi="Cambria Math" w:cs="Arial"/>
                <w:sz w:val="26"/>
                <w:szCs w:val="26"/>
              </w:rPr>
              <m:t>GI</m:t>
            </m:r>
          </m:e>
          <m:sub>
            <m:r>
              <w:rPr>
                <w:rFonts w:ascii="Cambria Math" w:hAnsi="Cambria Math" w:cs="Arial"/>
                <w:sz w:val="26"/>
                <w:szCs w:val="26"/>
              </w:rPr>
              <m:t>t</m:t>
            </m:r>
          </m:sub>
        </m:sSub>
      </m:oMath>
      <w:r w:rsidR="00B83CCA" w:rsidRPr="00C06B7E">
        <w:rPr>
          <w:rFonts w:ascii="Arial Narrow" w:hAnsi="Arial Narrow" w:cs="Arial"/>
          <w:sz w:val="26"/>
          <w:szCs w:val="26"/>
        </w:rPr>
        <w:t xml:space="preserve">: </w:t>
      </w:r>
      <w:r w:rsidR="00B83CCA" w:rsidRPr="00C06B7E">
        <w:rPr>
          <w:rFonts w:ascii="Arial Narrow" w:hAnsi="Arial Narrow" w:cs="Arial"/>
          <w:sz w:val="26"/>
          <w:szCs w:val="26"/>
        </w:rPr>
        <w:tab/>
        <w:t xml:space="preserve">Es la proporción de los gastos operativos de las Empresas Distribuidoras de Electricidad respecto a los Ingresos Totales, en el mes t, y medido en porcentaje. </w:t>
      </w:r>
    </w:p>
    <w:p w14:paraId="46748290" w14:textId="77777777" w:rsidR="00B83CCA" w:rsidRPr="00C06B7E" w:rsidRDefault="00B63E31" w:rsidP="00B83CCA">
      <w:pPr>
        <w:ind w:left="705" w:hanging="705"/>
        <w:jc w:val="both"/>
        <w:rPr>
          <w:rFonts w:ascii="Arial Narrow" w:hAnsi="Arial Narrow" w:cs="Arial"/>
          <w:sz w:val="26"/>
          <w:szCs w:val="26"/>
        </w:rPr>
      </w:pPr>
      <m:oMath>
        <m:sSub>
          <m:sSubPr>
            <m:ctrlPr>
              <w:rPr>
                <w:rFonts w:ascii="Cambria Math" w:hAnsi="Cambria Math" w:cs="Arial"/>
                <w:sz w:val="26"/>
                <w:szCs w:val="26"/>
              </w:rPr>
            </m:ctrlPr>
          </m:sSubPr>
          <m:e>
            <m:r>
              <w:rPr>
                <w:rFonts w:ascii="Cambria Math" w:hAnsi="Cambria Math" w:cs="Arial"/>
                <w:sz w:val="26"/>
                <w:szCs w:val="26"/>
              </w:rPr>
              <m:t>GO</m:t>
            </m:r>
          </m:e>
          <m:sub>
            <m:r>
              <w:rPr>
                <w:rFonts w:ascii="Cambria Math" w:hAnsi="Cambria Math" w:cs="Arial"/>
                <w:sz w:val="26"/>
                <w:szCs w:val="26"/>
              </w:rPr>
              <m:t>t</m:t>
            </m:r>
          </m:sub>
        </m:sSub>
      </m:oMath>
      <w:r w:rsidR="00B83CCA" w:rsidRPr="00C06B7E">
        <w:rPr>
          <w:rFonts w:ascii="Arial Narrow" w:hAnsi="Arial Narrow" w:cs="Arial"/>
          <w:sz w:val="26"/>
          <w:szCs w:val="26"/>
        </w:rPr>
        <w:t>:</w:t>
      </w:r>
      <w:r w:rsidR="00B83CCA" w:rsidRPr="00C06B7E">
        <w:rPr>
          <w:rFonts w:ascii="Arial Narrow" w:hAnsi="Arial Narrow" w:cs="Arial"/>
          <w:sz w:val="26"/>
          <w:szCs w:val="26"/>
        </w:rPr>
        <w:tab/>
        <w:t>Es la suma de los Gastos de Personal, Gastos de proveedores y otros gastos, en el mes t, y medido en Millones de pesos dominicanos. No incluye pagos de impuestos ni aportes a instituciones regulatorias.</w:t>
      </w:r>
    </w:p>
    <w:p w14:paraId="7EC1969D" w14:textId="77777777" w:rsidR="00B83CCA" w:rsidRPr="00C06B7E" w:rsidRDefault="00B63E31" w:rsidP="00B83CCA">
      <w:pPr>
        <w:ind w:left="705" w:hanging="705"/>
        <w:jc w:val="both"/>
        <w:rPr>
          <w:rFonts w:ascii="Arial Narrow" w:hAnsi="Arial Narrow" w:cs="Arial"/>
          <w:sz w:val="26"/>
          <w:szCs w:val="26"/>
        </w:rPr>
      </w:pPr>
      <m:oMath>
        <m:sSub>
          <m:sSubPr>
            <m:ctrlPr>
              <w:rPr>
                <w:rFonts w:ascii="Cambria Math" w:hAnsi="Cambria Math" w:cs="Arial"/>
                <w:sz w:val="26"/>
                <w:szCs w:val="26"/>
              </w:rPr>
            </m:ctrlPr>
          </m:sSubPr>
          <m:e>
            <m:r>
              <w:rPr>
                <w:rFonts w:ascii="Cambria Math" w:hAnsi="Cambria Math" w:cs="Arial"/>
                <w:sz w:val="26"/>
                <w:szCs w:val="26"/>
              </w:rPr>
              <m:t>IT</m:t>
            </m:r>
          </m:e>
          <m:sub>
            <m:r>
              <w:rPr>
                <w:rFonts w:ascii="Cambria Math" w:hAnsi="Cambria Math" w:cs="Arial"/>
                <w:sz w:val="26"/>
                <w:szCs w:val="26"/>
              </w:rPr>
              <m:t>t</m:t>
            </m:r>
          </m:sub>
        </m:sSub>
      </m:oMath>
      <w:r w:rsidR="00B83CCA" w:rsidRPr="00C06B7E">
        <w:rPr>
          <w:rFonts w:ascii="Arial Narrow" w:hAnsi="Arial Narrow" w:cs="Arial"/>
          <w:sz w:val="26"/>
          <w:szCs w:val="26"/>
        </w:rPr>
        <w:t>:</w:t>
      </w:r>
      <w:r w:rsidR="00B83CCA" w:rsidRPr="00C06B7E">
        <w:rPr>
          <w:rFonts w:ascii="Arial Narrow" w:hAnsi="Arial Narrow" w:cs="Arial"/>
          <w:sz w:val="26"/>
          <w:szCs w:val="26"/>
        </w:rPr>
        <w:tab/>
        <w:t xml:space="preserve">Es la suma de los Ingresos por venta de energía a usuarios regulados y usuarios no regulados, los ingresos por otros cobros comerciales y otros ingresos relacionados a la venta de energía, en el mes t, y medido en millones de pesos dominicanos. Este no incluye lo recibido por subsidio ni por otro concepto no mencionado en su definición. </w:t>
      </w:r>
    </w:p>
    <w:p w14:paraId="63BC101A" w14:textId="77777777" w:rsidR="00B83CCA" w:rsidRDefault="00B83CCA" w:rsidP="00B83CCA">
      <w:pPr>
        <w:spacing w:line="276" w:lineRule="auto"/>
        <w:jc w:val="both"/>
        <w:rPr>
          <w:rFonts w:ascii="Arial Narrow" w:hAnsi="Arial Narrow" w:cs="Arial"/>
          <w:sz w:val="26"/>
          <w:szCs w:val="26"/>
        </w:rPr>
      </w:pPr>
    </w:p>
    <w:p w14:paraId="4BBCE056" w14:textId="77777777" w:rsidR="00771855" w:rsidRDefault="00771855" w:rsidP="00B83CCA">
      <w:pPr>
        <w:spacing w:line="276" w:lineRule="auto"/>
        <w:jc w:val="both"/>
        <w:rPr>
          <w:rFonts w:ascii="Arial Narrow" w:hAnsi="Arial Narrow" w:cs="Arial"/>
          <w:sz w:val="26"/>
          <w:szCs w:val="26"/>
        </w:rPr>
      </w:pPr>
    </w:p>
    <w:p w14:paraId="5EB81A31" w14:textId="697FE2F3" w:rsidR="00771855" w:rsidRDefault="00771855" w:rsidP="00B83CCA">
      <w:pPr>
        <w:spacing w:line="276" w:lineRule="auto"/>
        <w:jc w:val="both"/>
        <w:rPr>
          <w:rFonts w:ascii="Arial Narrow" w:hAnsi="Arial Narrow" w:cs="Arial"/>
          <w:sz w:val="26"/>
          <w:szCs w:val="26"/>
        </w:rPr>
      </w:pPr>
    </w:p>
    <w:p w14:paraId="6A326708" w14:textId="2AA7872F" w:rsidR="00771855" w:rsidRDefault="00771855" w:rsidP="00B83CCA">
      <w:pPr>
        <w:spacing w:line="276" w:lineRule="auto"/>
        <w:jc w:val="both"/>
        <w:rPr>
          <w:rFonts w:ascii="Arial Narrow" w:hAnsi="Arial Narrow" w:cs="Arial"/>
          <w:sz w:val="26"/>
          <w:szCs w:val="26"/>
        </w:rPr>
      </w:pPr>
    </w:p>
    <w:p w14:paraId="77F9D16A" w14:textId="45E3CA51" w:rsidR="00771855" w:rsidRDefault="00771855" w:rsidP="00B83CCA">
      <w:pPr>
        <w:spacing w:line="276" w:lineRule="auto"/>
        <w:jc w:val="both"/>
        <w:rPr>
          <w:rFonts w:ascii="Arial Narrow" w:hAnsi="Arial Narrow" w:cs="Arial"/>
          <w:sz w:val="26"/>
          <w:szCs w:val="26"/>
        </w:rPr>
      </w:pPr>
    </w:p>
    <w:p w14:paraId="4ED5542D" w14:textId="690B1883" w:rsidR="00771855" w:rsidRDefault="00771855" w:rsidP="00B83CCA">
      <w:pPr>
        <w:spacing w:line="276" w:lineRule="auto"/>
        <w:jc w:val="both"/>
        <w:rPr>
          <w:rFonts w:ascii="Arial Narrow" w:hAnsi="Arial Narrow" w:cs="Arial"/>
          <w:sz w:val="26"/>
          <w:szCs w:val="26"/>
        </w:rPr>
      </w:pPr>
    </w:p>
    <w:p w14:paraId="69B85572" w14:textId="5FB2D9EB" w:rsidR="00771855" w:rsidRDefault="00771855" w:rsidP="00B83CCA">
      <w:pPr>
        <w:spacing w:line="276" w:lineRule="auto"/>
        <w:jc w:val="both"/>
        <w:rPr>
          <w:rFonts w:ascii="Arial Narrow" w:hAnsi="Arial Narrow" w:cs="Arial"/>
          <w:sz w:val="26"/>
          <w:szCs w:val="26"/>
        </w:rPr>
      </w:pPr>
    </w:p>
    <w:p w14:paraId="6B5EEE9A" w14:textId="77777777" w:rsidR="00771855" w:rsidRDefault="00771855" w:rsidP="00B83CCA">
      <w:pPr>
        <w:spacing w:line="276" w:lineRule="auto"/>
        <w:jc w:val="both"/>
        <w:rPr>
          <w:rFonts w:ascii="Arial Narrow" w:hAnsi="Arial Narrow" w:cs="Arial"/>
          <w:sz w:val="26"/>
          <w:szCs w:val="26"/>
        </w:rPr>
      </w:pPr>
    </w:p>
    <w:p w14:paraId="40C29414" w14:textId="16FFA8F9" w:rsidR="00B83CCA" w:rsidRDefault="00B83CCA" w:rsidP="00B83CCA">
      <w:pPr>
        <w:spacing w:line="276" w:lineRule="auto"/>
        <w:jc w:val="both"/>
        <w:rPr>
          <w:rFonts w:ascii="Arial Narrow" w:hAnsi="Arial Narrow" w:cs="Arial"/>
          <w:sz w:val="26"/>
          <w:szCs w:val="26"/>
        </w:rPr>
      </w:pPr>
      <w:r>
        <w:rPr>
          <w:rFonts w:ascii="Arial Narrow" w:hAnsi="Arial Narrow" w:cs="Arial"/>
          <w:sz w:val="26"/>
          <w:szCs w:val="26"/>
        </w:rPr>
        <w:t xml:space="preserve">Para el período </w:t>
      </w:r>
      <w:r w:rsidR="009C7C88">
        <w:rPr>
          <w:rFonts w:ascii="Arial Narrow" w:hAnsi="Arial Narrow" w:cs="Arial"/>
          <w:sz w:val="26"/>
          <w:szCs w:val="26"/>
        </w:rPr>
        <w:t>abril</w:t>
      </w:r>
      <w:r>
        <w:rPr>
          <w:rFonts w:ascii="Arial Narrow" w:hAnsi="Arial Narrow" w:cs="Arial"/>
          <w:sz w:val="26"/>
          <w:szCs w:val="26"/>
        </w:rPr>
        <w:t xml:space="preserve"> – </w:t>
      </w:r>
      <w:r w:rsidR="009C7C88">
        <w:rPr>
          <w:rFonts w:ascii="Arial Narrow" w:hAnsi="Arial Narrow" w:cs="Arial"/>
          <w:sz w:val="26"/>
          <w:szCs w:val="26"/>
        </w:rPr>
        <w:t>junio</w:t>
      </w:r>
      <w:r>
        <w:rPr>
          <w:rFonts w:ascii="Arial Narrow" w:hAnsi="Arial Narrow" w:cs="Arial"/>
          <w:sz w:val="26"/>
          <w:szCs w:val="26"/>
        </w:rPr>
        <w:t xml:space="preserve"> del año 202</w:t>
      </w:r>
      <w:r w:rsidR="00AE33F7">
        <w:rPr>
          <w:rFonts w:ascii="Arial Narrow" w:hAnsi="Arial Narrow" w:cs="Arial"/>
          <w:sz w:val="26"/>
          <w:szCs w:val="26"/>
        </w:rPr>
        <w:t>2</w:t>
      </w:r>
      <w:r>
        <w:rPr>
          <w:rFonts w:ascii="Arial Narrow" w:hAnsi="Arial Narrow" w:cs="Arial"/>
          <w:sz w:val="26"/>
          <w:szCs w:val="26"/>
        </w:rPr>
        <w:t>, el comportamiento de este indicador fue el siguiente:</w:t>
      </w:r>
    </w:p>
    <w:tbl>
      <w:tblPr>
        <w:tblW w:w="10000" w:type="dxa"/>
        <w:tblCellMar>
          <w:left w:w="70" w:type="dxa"/>
          <w:right w:w="70" w:type="dxa"/>
        </w:tblCellMar>
        <w:tblLook w:val="04A0" w:firstRow="1" w:lastRow="0" w:firstColumn="1" w:lastColumn="0" w:noHBand="0" w:noVBand="1"/>
      </w:tblPr>
      <w:tblGrid>
        <w:gridCol w:w="2136"/>
        <w:gridCol w:w="953"/>
        <w:gridCol w:w="953"/>
        <w:gridCol w:w="1476"/>
        <w:gridCol w:w="1621"/>
        <w:gridCol w:w="953"/>
        <w:gridCol w:w="953"/>
        <w:gridCol w:w="955"/>
      </w:tblGrid>
      <w:tr w:rsidR="0054327E" w:rsidRPr="0054327E" w14:paraId="37E0C505" w14:textId="77777777" w:rsidTr="0054327E">
        <w:trPr>
          <w:trHeight w:val="315"/>
        </w:trPr>
        <w:tc>
          <w:tcPr>
            <w:tcW w:w="2136" w:type="dxa"/>
            <w:tcBorders>
              <w:top w:val="nil"/>
              <w:left w:val="nil"/>
              <w:bottom w:val="nil"/>
              <w:right w:val="nil"/>
            </w:tcBorders>
            <w:shd w:val="clear" w:color="auto" w:fill="auto"/>
            <w:noWrap/>
            <w:vAlign w:val="bottom"/>
            <w:hideMark/>
          </w:tcPr>
          <w:p w14:paraId="3D58B91E" w14:textId="77777777" w:rsidR="0054327E" w:rsidRPr="0054327E" w:rsidRDefault="0054327E" w:rsidP="0054327E">
            <w:pPr>
              <w:spacing w:after="0"/>
              <w:jc w:val="left"/>
              <w:rPr>
                <w:rFonts w:ascii="Times New Roman" w:eastAsia="Times New Roman" w:hAnsi="Times New Roman" w:cs="Times New Roman"/>
                <w:sz w:val="24"/>
                <w:szCs w:val="24"/>
                <w:lang w:eastAsia="es-ES"/>
              </w:rPr>
            </w:pPr>
          </w:p>
        </w:tc>
        <w:tc>
          <w:tcPr>
            <w:tcW w:w="7864" w:type="dxa"/>
            <w:gridSpan w:val="7"/>
            <w:tcBorders>
              <w:top w:val="nil"/>
              <w:left w:val="nil"/>
              <w:bottom w:val="nil"/>
              <w:right w:val="nil"/>
            </w:tcBorders>
            <w:shd w:val="clear" w:color="auto" w:fill="auto"/>
            <w:noWrap/>
            <w:vAlign w:val="bottom"/>
            <w:hideMark/>
          </w:tcPr>
          <w:p w14:paraId="0FC29BD4" w14:textId="77777777" w:rsidR="0054327E" w:rsidRPr="0054327E" w:rsidRDefault="0054327E" w:rsidP="0054327E">
            <w:pPr>
              <w:spacing w:after="0"/>
              <w:rPr>
                <w:rFonts w:ascii="Calibri" w:eastAsia="Times New Roman" w:hAnsi="Calibri" w:cs="Calibri"/>
                <w:b/>
                <w:bCs/>
                <w:color w:val="000000"/>
                <w:sz w:val="22"/>
                <w:szCs w:val="22"/>
                <w:lang w:eastAsia="es-ES"/>
              </w:rPr>
            </w:pPr>
            <w:r w:rsidRPr="0054327E">
              <w:rPr>
                <w:rFonts w:ascii="Calibri" w:eastAsia="Times New Roman" w:hAnsi="Calibri" w:cs="Calibri"/>
                <w:b/>
                <w:bCs/>
                <w:color w:val="000000"/>
                <w:sz w:val="22"/>
                <w:szCs w:val="22"/>
                <w:lang w:eastAsia="es-ES"/>
              </w:rPr>
              <w:t>RELACIÓN GASTOS OPERATIVOS / INGRESOS</w:t>
            </w:r>
          </w:p>
        </w:tc>
      </w:tr>
      <w:tr w:rsidR="0054327E" w:rsidRPr="0054327E" w14:paraId="6977F635" w14:textId="77777777" w:rsidTr="0054327E">
        <w:trPr>
          <w:trHeight w:val="315"/>
        </w:trPr>
        <w:tc>
          <w:tcPr>
            <w:tcW w:w="2136" w:type="dxa"/>
            <w:tcBorders>
              <w:top w:val="nil"/>
              <w:left w:val="nil"/>
              <w:bottom w:val="nil"/>
              <w:right w:val="nil"/>
            </w:tcBorders>
            <w:shd w:val="clear" w:color="auto" w:fill="auto"/>
            <w:noWrap/>
            <w:vAlign w:val="bottom"/>
            <w:hideMark/>
          </w:tcPr>
          <w:p w14:paraId="44F322B7" w14:textId="77777777" w:rsidR="0054327E" w:rsidRPr="0054327E" w:rsidRDefault="0054327E" w:rsidP="0054327E">
            <w:pPr>
              <w:spacing w:after="0"/>
              <w:rPr>
                <w:rFonts w:ascii="Calibri" w:eastAsia="Times New Roman" w:hAnsi="Calibri" w:cs="Calibri"/>
                <w:b/>
                <w:bCs/>
                <w:color w:val="000000"/>
                <w:sz w:val="22"/>
                <w:szCs w:val="22"/>
                <w:lang w:eastAsia="es-ES"/>
              </w:rPr>
            </w:pPr>
          </w:p>
        </w:tc>
        <w:tc>
          <w:tcPr>
            <w:tcW w:w="953" w:type="dxa"/>
            <w:tcBorders>
              <w:top w:val="nil"/>
              <w:left w:val="nil"/>
              <w:bottom w:val="nil"/>
              <w:right w:val="nil"/>
            </w:tcBorders>
            <w:shd w:val="clear" w:color="auto" w:fill="auto"/>
            <w:noWrap/>
            <w:vAlign w:val="bottom"/>
            <w:hideMark/>
          </w:tcPr>
          <w:p w14:paraId="3E878E69" w14:textId="77777777" w:rsidR="0054327E" w:rsidRPr="0054327E" w:rsidRDefault="0054327E" w:rsidP="0054327E">
            <w:pPr>
              <w:spacing w:after="0"/>
              <w:jc w:val="left"/>
              <w:rPr>
                <w:rFonts w:ascii="Times New Roman" w:eastAsia="Times New Roman" w:hAnsi="Times New Roman" w:cs="Times New Roman"/>
                <w:sz w:val="20"/>
                <w:szCs w:val="20"/>
                <w:lang w:eastAsia="es-ES"/>
              </w:rPr>
            </w:pPr>
          </w:p>
        </w:tc>
        <w:tc>
          <w:tcPr>
            <w:tcW w:w="953" w:type="dxa"/>
            <w:tcBorders>
              <w:top w:val="nil"/>
              <w:left w:val="nil"/>
              <w:bottom w:val="nil"/>
              <w:right w:val="nil"/>
            </w:tcBorders>
            <w:shd w:val="clear" w:color="auto" w:fill="auto"/>
            <w:noWrap/>
            <w:vAlign w:val="bottom"/>
            <w:hideMark/>
          </w:tcPr>
          <w:p w14:paraId="716F3A5E" w14:textId="77777777" w:rsidR="0054327E" w:rsidRPr="0054327E" w:rsidRDefault="0054327E" w:rsidP="0054327E">
            <w:pPr>
              <w:spacing w:after="0"/>
              <w:jc w:val="left"/>
              <w:rPr>
                <w:rFonts w:ascii="Times New Roman" w:eastAsia="Times New Roman" w:hAnsi="Times New Roman" w:cs="Times New Roman"/>
                <w:sz w:val="20"/>
                <w:szCs w:val="20"/>
                <w:lang w:eastAsia="es-ES"/>
              </w:rPr>
            </w:pPr>
          </w:p>
        </w:tc>
        <w:tc>
          <w:tcPr>
            <w:tcW w:w="1476" w:type="dxa"/>
            <w:tcBorders>
              <w:top w:val="nil"/>
              <w:left w:val="nil"/>
              <w:bottom w:val="nil"/>
              <w:right w:val="nil"/>
            </w:tcBorders>
            <w:shd w:val="clear" w:color="auto" w:fill="auto"/>
            <w:noWrap/>
            <w:vAlign w:val="bottom"/>
            <w:hideMark/>
          </w:tcPr>
          <w:p w14:paraId="531F1B63" w14:textId="77777777" w:rsidR="0054327E" w:rsidRPr="0054327E" w:rsidRDefault="0054327E" w:rsidP="0054327E">
            <w:pPr>
              <w:spacing w:after="0"/>
              <w:jc w:val="left"/>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14:paraId="6B6A8CE3" w14:textId="77777777" w:rsidR="0054327E" w:rsidRPr="0054327E" w:rsidRDefault="0054327E" w:rsidP="0054327E">
            <w:pPr>
              <w:spacing w:after="0"/>
              <w:jc w:val="left"/>
              <w:rPr>
                <w:rFonts w:ascii="Times New Roman" w:eastAsia="Times New Roman" w:hAnsi="Times New Roman" w:cs="Times New Roman"/>
                <w:sz w:val="20"/>
                <w:szCs w:val="20"/>
                <w:lang w:eastAsia="es-ES"/>
              </w:rPr>
            </w:pPr>
          </w:p>
        </w:tc>
        <w:tc>
          <w:tcPr>
            <w:tcW w:w="2859" w:type="dxa"/>
            <w:gridSpan w:val="3"/>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71ABDE31" w14:textId="77777777" w:rsidR="0054327E" w:rsidRPr="0054327E" w:rsidRDefault="0054327E" w:rsidP="0054327E">
            <w:pPr>
              <w:spacing w:after="0"/>
              <w:rPr>
                <w:rFonts w:ascii="Calibri" w:eastAsia="Times New Roman" w:hAnsi="Calibri" w:cs="Calibri"/>
                <w:b/>
                <w:bCs/>
                <w:color w:val="000000"/>
                <w:sz w:val="22"/>
                <w:szCs w:val="22"/>
                <w:lang w:eastAsia="es-ES"/>
              </w:rPr>
            </w:pPr>
            <w:r w:rsidRPr="0054327E">
              <w:rPr>
                <w:rFonts w:ascii="Calibri" w:eastAsia="Times New Roman" w:hAnsi="Calibri" w:cs="Calibri"/>
                <w:b/>
                <w:bCs/>
                <w:color w:val="000000"/>
                <w:sz w:val="22"/>
                <w:szCs w:val="22"/>
                <w:lang w:eastAsia="es-ES"/>
              </w:rPr>
              <w:t>Logros Abr - Jun 2022</w:t>
            </w:r>
          </w:p>
        </w:tc>
      </w:tr>
      <w:tr w:rsidR="0054327E" w:rsidRPr="0054327E" w14:paraId="5FCECA2A" w14:textId="77777777" w:rsidTr="0054327E">
        <w:trPr>
          <w:trHeight w:val="915"/>
        </w:trPr>
        <w:tc>
          <w:tcPr>
            <w:tcW w:w="2136" w:type="dxa"/>
            <w:tcBorders>
              <w:top w:val="nil"/>
              <w:left w:val="nil"/>
              <w:bottom w:val="nil"/>
              <w:right w:val="nil"/>
            </w:tcBorders>
            <w:shd w:val="clear" w:color="auto" w:fill="auto"/>
            <w:noWrap/>
            <w:vAlign w:val="bottom"/>
            <w:hideMark/>
          </w:tcPr>
          <w:p w14:paraId="3A2D4B90" w14:textId="77777777" w:rsidR="0054327E" w:rsidRPr="0054327E" w:rsidRDefault="0054327E" w:rsidP="0054327E">
            <w:pPr>
              <w:spacing w:after="0"/>
              <w:rPr>
                <w:rFonts w:ascii="Calibri" w:eastAsia="Times New Roman" w:hAnsi="Calibri" w:cs="Calibri"/>
                <w:b/>
                <w:bCs/>
                <w:color w:val="000000"/>
                <w:sz w:val="22"/>
                <w:szCs w:val="22"/>
                <w:lang w:eastAsia="es-ES"/>
              </w:rPr>
            </w:pPr>
          </w:p>
        </w:tc>
        <w:tc>
          <w:tcPr>
            <w:tcW w:w="953" w:type="dxa"/>
            <w:tcBorders>
              <w:top w:val="single" w:sz="8" w:space="0" w:color="auto"/>
              <w:left w:val="single" w:sz="8" w:space="0" w:color="auto"/>
              <w:bottom w:val="single" w:sz="8" w:space="0" w:color="auto"/>
              <w:right w:val="single" w:sz="4" w:space="0" w:color="auto"/>
            </w:tcBorders>
            <w:shd w:val="clear" w:color="000000" w:fill="C6E0B4"/>
            <w:vAlign w:val="center"/>
            <w:hideMark/>
          </w:tcPr>
          <w:p w14:paraId="76B893E6" w14:textId="77777777" w:rsidR="0054327E" w:rsidRPr="0054327E" w:rsidRDefault="0054327E" w:rsidP="0054327E">
            <w:pPr>
              <w:spacing w:after="0"/>
              <w:rPr>
                <w:rFonts w:ascii="Calibri" w:eastAsia="Times New Roman" w:hAnsi="Calibri" w:cs="Calibri"/>
                <w:b/>
                <w:bCs/>
                <w:color w:val="000000"/>
                <w:sz w:val="22"/>
                <w:szCs w:val="22"/>
                <w:lang w:eastAsia="es-ES"/>
              </w:rPr>
            </w:pPr>
            <w:r w:rsidRPr="0054327E">
              <w:rPr>
                <w:rFonts w:ascii="Calibri" w:eastAsia="Times New Roman" w:hAnsi="Calibri" w:cs="Calibri"/>
                <w:b/>
                <w:bCs/>
                <w:color w:val="000000"/>
                <w:sz w:val="22"/>
                <w:szCs w:val="22"/>
                <w:lang w:eastAsia="es-ES"/>
              </w:rPr>
              <w:t>Base 2020</w:t>
            </w:r>
          </w:p>
        </w:tc>
        <w:tc>
          <w:tcPr>
            <w:tcW w:w="953" w:type="dxa"/>
            <w:tcBorders>
              <w:top w:val="single" w:sz="8" w:space="0" w:color="auto"/>
              <w:left w:val="nil"/>
              <w:bottom w:val="single" w:sz="8" w:space="0" w:color="auto"/>
              <w:right w:val="nil"/>
            </w:tcBorders>
            <w:shd w:val="clear" w:color="000000" w:fill="C6E0B4"/>
            <w:vAlign w:val="center"/>
            <w:hideMark/>
          </w:tcPr>
          <w:p w14:paraId="220ECE6D" w14:textId="77777777" w:rsidR="0054327E" w:rsidRPr="0054327E" w:rsidRDefault="0054327E" w:rsidP="0054327E">
            <w:pPr>
              <w:spacing w:after="0"/>
              <w:rPr>
                <w:rFonts w:ascii="Calibri" w:eastAsia="Times New Roman" w:hAnsi="Calibri" w:cs="Calibri"/>
                <w:b/>
                <w:bCs/>
                <w:color w:val="000000"/>
                <w:sz w:val="22"/>
                <w:szCs w:val="22"/>
                <w:lang w:eastAsia="es-ES"/>
              </w:rPr>
            </w:pPr>
            <w:r w:rsidRPr="0054327E">
              <w:rPr>
                <w:rFonts w:ascii="Calibri" w:eastAsia="Times New Roman" w:hAnsi="Calibri" w:cs="Calibri"/>
                <w:b/>
                <w:bCs/>
                <w:color w:val="000000"/>
                <w:sz w:val="22"/>
                <w:szCs w:val="22"/>
                <w:lang w:eastAsia="es-ES"/>
              </w:rPr>
              <w:t>Meta 2022</w:t>
            </w:r>
          </w:p>
        </w:tc>
        <w:tc>
          <w:tcPr>
            <w:tcW w:w="1476"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2D11E66B" w14:textId="77777777" w:rsidR="0054327E" w:rsidRPr="0054327E" w:rsidRDefault="0054327E" w:rsidP="0054327E">
            <w:pPr>
              <w:spacing w:after="0"/>
              <w:rPr>
                <w:rFonts w:ascii="Calibri" w:eastAsia="Times New Roman" w:hAnsi="Calibri" w:cs="Calibri"/>
                <w:b/>
                <w:bCs/>
                <w:color w:val="000000"/>
                <w:sz w:val="22"/>
                <w:szCs w:val="22"/>
                <w:lang w:eastAsia="es-ES"/>
              </w:rPr>
            </w:pPr>
            <w:r w:rsidRPr="0054327E">
              <w:rPr>
                <w:rFonts w:ascii="Calibri" w:eastAsia="Times New Roman" w:hAnsi="Calibri" w:cs="Calibri"/>
                <w:b/>
                <w:bCs/>
                <w:color w:val="000000"/>
                <w:sz w:val="22"/>
                <w:szCs w:val="22"/>
                <w:lang w:eastAsia="es-ES"/>
              </w:rPr>
              <w:t>Promedio Abr - Jun 2022</w:t>
            </w:r>
          </w:p>
        </w:tc>
        <w:tc>
          <w:tcPr>
            <w:tcW w:w="1621" w:type="dxa"/>
            <w:tcBorders>
              <w:top w:val="single" w:sz="8" w:space="0" w:color="auto"/>
              <w:left w:val="nil"/>
              <w:bottom w:val="single" w:sz="8" w:space="0" w:color="auto"/>
              <w:right w:val="nil"/>
            </w:tcBorders>
            <w:shd w:val="clear" w:color="000000" w:fill="2F75B5"/>
            <w:vAlign w:val="bottom"/>
            <w:hideMark/>
          </w:tcPr>
          <w:p w14:paraId="22C160E7" w14:textId="77777777" w:rsidR="0054327E" w:rsidRPr="0054327E" w:rsidRDefault="0054327E" w:rsidP="0054327E">
            <w:pPr>
              <w:spacing w:after="0"/>
              <w:rPr>
                <w:rFonts w:ascii="Calibri" w:eastAsia="Times New Roman" w:hAnsi="Calibri" w:cs="Calibri"/>
                <w:b/>
                <w:bCs/>
                <w:color w:val="000000"/>
                <w:sz w:val="22"/>
                <w:szCs w:val="22"/>
                <w:lang w:eastAsia="es-ES"/>
              </w:rPr>
            </w:pPr>
            <w:r w:rsidRPr="0054327E">
              <w:rPr>
                <w:rFonts w:ascii="Calibri" w:eastAsia="Times New Roman" w:hAnsi="Calibri" w:cs="Calibri"/>
                <w:b/>
                <w:bCs/>
                <w:color w:val="000000"/>
                <w:sz w:val="22"/>
                <w:szCs w:val="22"/>
                <w:lang w:eastAsia="es-ES"/>
              </w:rPr>
              <w:t>Desviación Ejecutado vs. Meta</w:t>
            </w:r>
          </w:p>
        </w:tc>
        <w:tc>
          <w:tcPr>
            <w:tcW w:w="953" w:type="dxa"/>
            <w:tcBorders>
              <w:top w:val="nil"/>
              <w:left w:val="single" w:sz="8" w:space="0" w:color="auto"/>
              <w:bottom w:val="nil"/>
              <w:right w:val="single" w:sz="4" w:space="0" w:color="auto"/>
            </w:tcBorders>
            <w:shd w:val="clear" w:color="000000" w:fill="BDD7EE"/>
            <w:noWrap/>
            <w:vAlign w:val="center"/>
            <w:hideMark/>
          </w:tcPr>
          <w:p w14:paraId="6FAF4313" w14:textId="77777777" w:rsidR="0054327E" w:rsidRPr="0054327E" w:rsidRDefault="0054327E" w:rsidP="0054327E">
            <w:pPr>
              <w:spacing w:after="0"/>
              <w:rPr>
                <w:rFonts w:ascii="Calibri" w:eastAsia="Times New Roman" w:hAnsi="Calibri" w:cs="Calibri"/>
                <w:b/>
                <w:bCs/>
                <w:color w:val="000000"/>
                <w:sz w:val="22"/>
                <w:szCs w:val="22"/>
                <w:lang w:eastAsia="es-ES"/>
              </w:rPr>
            </w:pPr>
            <w:r w:rsidRPr="0054327E">
              <w:rPr>
                <w:rFonts w:ascii="Calibri" w:eastAsia="Times New Roman" w:hAnsi="Calibri" w:cs="Calibri"/>
                <w:b/>
                <w:bCs/>
                <w:color w:val="000000"/>
                <w:sz w:val="22"/>
                <w:szCs w:val="22"/>
                <w:lang w:eastAsia="es-ES"/>
              </w:rPr>
              <w:t>Abr</w:t>
            </w:r>
          </w:p>
        </w:tc>
        <w:tc>
          <w:tcPr>
            <w:tcW w:w="953" w:type="dxa"/>
            <w:tcBorders>
              <w:top w:val="nil"/>
              <w:left w:val="nil"/>
              <w:bottom w:val="nil"/>
              <w:right w:val="single" w:sz="4" w:space="0" w:color="auto"/>
            </w:tcBorders>
            <w:shd w:val="clear" w:color="000000" w:fill="BDD7EE"/>
            <w:noWrap/>
            <w:vAlign w:val="center"/>
            <w:hideMark/>
          </w:tcPr>
          <w:p w14:paraId="31AD22D8" w14:textId="77777777" w:rsidR="0054327E" w:rsidRPr="0054327E" w:rsidRDefault="0054327E" w:rsidP="0054327E">
            <w:pPr>
              <w:spacing w:after="0"/>
              <w:rPr>
                <w:rFonts w:ascii="Calibri" w:eastAsia="Times New Roman" w:hAnsi="Calibri" w:cs="Calibri"/>
                <w:b/>
                <w:bCs/>
                <w:color w:val="000000"/>
                <w:sz w:val="22"/>
                <w:szCs w:val="22"/>
                <w:lang w:eastAsia="es-ES"/>
              </w:rPr>
            </w:pPr>
            <w:r w:rsidRPr="0054327E">
              <w:rPr>
                <w:rFonts w:ascii="Calibri" w:eastAsia="Times New Roman" w:hAnsi="Calibri" w:cs="Calibri"/>
                <w:b/>
                <w:bCs/>
                <w:color w:val="000000"/>
                <w:sz w:val="22"/>
                <w:szCs w:val="22"/>
                <w:lang w:eastAsia="es-ES"/>
              </w:rPr>
              <w:t>May</w:t>
            </w:r>
          </w:p>
        </w:tc>
        <w:tc>
          <w:tcPr>
            <w:tcW w:w="953" w:type="dxa"/>
            <w:tcBorders>
              <w:top w:val="nil"/>
              <w:left w:val="nil"/>
              <w:bottom w:val="nil"/>
              <w:right w:val="single" w:sz="8" w:space="0" w:color="auto"/>
            </w:tcBorders>
            <w:shd w:val="clear" w:color="000000" w:fill="BDD7EE"/>
            <w:noWrap/>
            <w:vAlign w:val="center"/>
            <w:hideMark/>
          </w:tcPr>
          <w:p w14:paraId="5A1E8485" w14:textId="77777777" w:rsidR="0054327E" w:rsidRPr="0054327E" w:rsidRDefault="0054327E" w:rsidP="0054327E">
            <w:pPr>
              <w:spacing w:after="0"/>
              <w:rPr>
                <w:rFonts w:ascii="Calibri" w:eastAsia="Times New Roman" w:hAnsi="Calibri" w:cs="Calibri"/>
                <w:b/>
                <w:bCs/>
                <w:color w:val="000000"/>
                <w:sz w:val="22"/>
                <w:szCs w:val="22"/>
                <w:lang w:eastAsia="es-ES"/>
              </w:rPr>
            </w:pPr>
            <w:r w:rsidRPr="0054327E">
              <w:rPr>
                <w:rFonts w:ascii="Calibri" w:eastAsia="Times New Roman" w:hAnsi="Calibri" w:cs="Calibri"/>
                <w:b/>
                <w:bCs/>
                <w:color w:val="000000"/>
                <w:sz w:val="22"/>
                <w:szCs w:val="22"/>
                <w:lang w:eastAsia="es-ES"/>
              </w:rPr>
              <w:t>Jun</w:t>
            </w:r>
          </w:p>
        </w:tc>
      </w:tr>
      <w:tr w:rsidR="0054327E" w:rsidRPr="0054327E" w14:paraId="030E511D" w14:textId="77777777" w:rsidTr="0054327E">
        <w:trPr>
          <w:trHeight w:val="315"/>
        </w:trPr>
        <w:tc>
          <w:tcPr>
            <w:tcW w:w="2136" w:type="dxa"/>
            <w:tcBorders>
              <w:top w:val="nil"/>
              <w:left w:val="nil"/>
              <w:bottom w:val="nil"/>
              <w:right w:val="nil"/>
            </w:tcBorders>
            <w:shd w:val="clear" w:color="auto" w:fill="auto"/>
            <w:noWrap/>
            <w:vAlign w:val="bottom"/>
            <w:hideMark/>
          </w:tcPr>
          <w:p w14:paraId="1B2EA406" w14:textId="77777777" w:rsidR="0054327E" w:rsidRPr="0054327E" w:rsidRDefault="0054327E" w:rsidP="0054327E">
            <w:pPr>
              <w:spacing w:after="0"/>
              <w:jc w:val="left"/>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EDENORTE</w:t>
            </w:r>
          </w:p>
        </w:tc>
        <w:tc>
          <w:tcPr>
            <w:tcW w:w="953" w:type="dxa"/>
            <w:tcBorders>
              <w:top w:val="nil"/>
              <w:left w:val="single" w:sz="8" w:space="0" w:color="auto"/>
              <w:bottom w:val="single" w:sz="4" w:space="0" w:color="auto"/>
              <w:right w:val="single" w:sz="4" w:space="0" w:color="auto"/>
            </w:tcBorders>
            <w:shd w:val="clear" w:color="auto" w:fill="auto"/>
            <w:noWrap/>
            <w:vAlign w:val="bottom"/>
            <w:hideMark/>
          </w:tcPr>
          <w:p w14:paraId="675729D5"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18,4%</w:t>
            </w:r>
          </w:p>
        </w:tc>
        <w:tc>
          <w:tcPr>
            <w:tcW w:w="953" w:type="dxa"/>
            <w:tcBorders>
              <w:top w:val="nil"/>
              <w:left w:val="nil"/>
              <w:bottom w:val="single" w:sz="4" w:space="0" w:color="auto"/>
              <w:right w:val="nil"/>
            </w:tcBorders>
            <w:shd w:val="clear" w:color="auto" w:fill="auto"/>
            <w:noWrap/>
            <w:vAlign w:val="bottom"/>
            <w:hideMark/>
          </w:tcPr>
          <w:p w14:paraId="15ECBE4D"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14,0%</w:t>
            </w:r>
          </w:p>
        </w:tc>
        <w:tc>
          <w:tcPr>
            <w:tcW w:w="1476" w:type="dxa"/>
            <w:tcBorders>
              <w:top w:val="nil"/>
              <w:left w:val="single" w:sz="8" w:space="0" w:color="auto"/>
              <w:bottom w:val="single" w:sz="4" w:space="0" w:color="auto"/>
              <w:right w:val="single" w:sz="8" w:space="0" w:color="auto"/>
            </w:tcBorders>
            <w:shd w:val="clear" w:color="auto" w:fill="auto"/>
            <w:noWrap/>
            <w:vAlign w:val="bottom"/>
            <w:hideMark/>
          </w:tcPr>
          <w:p w14:paraId="364D555B"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13,3%</w:t>
            </w:r>
          </w:p>
        </w:tc>
        <w:tc>
          <w:tcPr>
            <w:tcW w:w="1621" w:type="dxa"/>
            <w:tcBorders>
              <w:top w:val="nil"/>
              <w:left w:val="nil"/>
              <w:bottom w:val="single" w:sz="4" w:space="0" w:color="auto"/>
              <w:right w:val="nil"/>
            </w:tcBorders>
            <w:shd w:val="clear" w:color="auto" w:fill="auto"/>
            <w:noWrap/>
            <w:vAlign w:val="bottom"/>
            <w:hideMark/>
          </w:tcPr>
          <w:p w14:paraId="4FD0658A"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-0,7%</w:t>
            </w:r>
          </w:p>
        </w:tc>
        <w:tc>
          <w:tcPr>
            <w:tcW w:w="95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8D4450A"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13,8%</w:t>
            </w:r>
          </w:p>
        </w:tc>
        <w:tc>
          <w:tcPr>
            <w:tcW w:w="953" w:type="dxa"/>
            <w:tcBorders>
              <w:top w:val="single" w:sz="8" w:space="0" w:color="auto"/>
              <w:left w:val="nil"/>
              <w:bottom w:val="single" w:sz="4" w:space="0" w:color="auto"/>
              <w:right w:val="single" w:sz="4" w:space="0" w:color="auto"/>
            </w:tcBorders>
            <w:shd w:val="clear" w:color="auto" w:fill="auto"/>
            <w:noWrap/>
            <w:vAlign w:val="bottom"/>
            <w:hideMark/>
          </w:tcPr>
          <w:p w14:paraId="5269454E"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12,9%</w:t>
            </w:r>
          </w:p>
        </w:tc>
        <w:tc>
          <w:tcPr>
            <w:tcW w:w="953" w:type="dxa"/>
            <w:tcBorders>
              <w:top w:val="single" w:sz="8" w:space="0" w:color="auto"/>
              <w:left w:val="nil"/>
              <w:bottom w:val="single" w:sz="4" w:space="0" w:color="auto"/>
              <w:right w:val="single" w:sz="8" w:space="0" w:color="auto"/>
            </w:tcBorders>
            <w:shd w:val="clear" w:color="auto" w:fill="auto"/>
            <w:noWrap/>
            <w:vAlign w:val="bottom"/>
            <w:hideMark/>
          </w:tcPr>
          <w:p w14:paraId="2B94B5C7"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13,3%</w:t>
            </w:r>
          </w:p>
        </w:tc>
      </w:tr>
      <w:tr w:rsidR="0054327E" w:rsidRPr="0054327E" w14:paraId="0FB183E5" w14:textId="77777777" w:rsidTr="0054327E">
        <w:trPr>
          <w:trHeight w:val="315"/>
        </w:trPr>
        <w:tc>
          <w:tcPr>
            <w:tcW w:w="2136" w:type="dxa"/>
            <w:tcBorders>
              <w:top w:val="nil"/>
              <w:left w:val="nil"/>
              <w:bottom w:val="nil"/>
              <w:right w:val="nil"/>
            </w:tcBorders>
            <w:shd w:val="clear" w:color="auto" w:fill="auto"/>
            <w:noWrap/>
            <w:vAlign w:val="bottom"/>
            <w:hideMark/>
          </w:tcPr>
          <w:p w14:paraId="574A7364" w14:textId="77777777" w:rsidR="0054327E" w:rsidRPr="0054327E" w:rsidRDefault="0054327E" w:rsidP="0054327E">
            <w:pPr>
              <w:spacing w:after="0"/>
              <w:jc w:val="left"/>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EDESUR</w:t>
            </w:r>
          </w:p>
        </w:tc>
        <w:tc>
          <w:tcPr>
            <w:tcW w:w="953" w:type="dxa"/>
            <w:tcBorders>
              <w:top w:val="nil"/>
              <w:left w:val="single" w:sz="8" w:space="0" w:color="auto"/>
              <w:bottom w:val="single" w:sz="4" w:space="0" w:color="auto"/>
              <w:right w:val="single" w:sz="4" w:space="0" w:color="auto"/>
            </w:tcBorders>
            <w:shd w:val="clear" w:color="auto" w:fill="auto"/>
            <w:noWrap/>
            <w:vAlign w:val="bottom"/>
            <w:hideMark/>
          </w:tcPr>
          <w:p w14:paraId="5E39A376"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18,6%</w:t>
            </w:r>
          </w:p>
        </w:tc>
        <w:tc>
          <w:tcPr>
            <w:tcW w:w="953" w:type="dxa"/>
            <w:tcBorders>
              <w:top w:val="nil"/>
              <w:left w:val="nil"/>
              <w:bottom w:val="single" w:sz="4" w:space="0" w:color="auto"/>
              <w:right w:val="nil"/>
            </w:tcBorders>
            <w:shd w:val="clear" w:color="auto" w:fill="auto"/>
            <w:noWrap/>
            <w:vAlign w:val="bottom"/>
            <w:hideMark/>
          </w:tcPr>
          <w:p w14:paraId="6440D86E"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14,0%</w:t>
            </w:r>
          </w:p>
        </w:tc>
        <w:tc>
          <w:tcPr>
            <w:tcW w:w="147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6BBE9C0"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19,2%</w:t>
            </w:r>
          </w:p>
        </w:tc>
        <w:tc>
          <w:tcPr>
            <w:tcW w:w="1621" w:type="dxa"/>
            <w:tcBorders>
              <w:top w:val="nil"/>
              <w:left w:val="nil"/>
              <w:bottom w:val="single" w:sz="4" w:space="0" w:color="auto"/>
              <w:right w:val="nil"/>
            </w:tcBorders>
            <w:shd w:val="clear" w:color="auto" w:fill="auto"/>
            <w:noWrap/>
            <w:vAlign w:val="bottom"/>
            <w:hideMark/>
          </w:tcPr>
          <w:p w14:paraId="120332E9"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5,2%</w:t>
            </w:r>
          </w:p>
        </w:tc>
        <w:tc>
          <w:tcPr>
            <w:tcW w:w="953" w:type="dxa"/>
            <w:tcBorders>
              <w:top w:val="nil"/>
              <w:left w:val="single" w:sz="8" w:space="0" w:color="auto"/>
              <w:bottom w:val="single" w:sz="4" w:space="0" w:color="auto"/>
              <w:right w:val="single" w:sz="4" w:space="0" w:color="auto"/>
            </w:tcBorders>
            <w:shd w:val="clear" w:color="auto" w:fill="auto"/>
            <w:noWrap/>
            <w:vAlign w:val="bottom"/>
            <w:hideMark/>
          </w:tcPr>
          <w:p w14:paraId="1FC4C50D"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18,7%</w:t>
            </w:r>
          </w:p>
        </w:tc>
        <w:tc>
          <w:tcPr>
            <w:tcW w:w="953" w:type="dxa"/>
            <w:tcBorders>
              <w:top w:val="nil"/>
              <w:left w:val="nil"/>
              <w:bottom w:val="single" w:sz="4" w:space="0" w:color="auto"/>
              <w:right w:val="single" w:sz="4" w:space="0" w:color="auto"/>
            </w:tcBorders>
            <w:shd w:val="clear" w:color="auto" w:fill="auto"/>
            <w:noWrap/>
            <w:vAlign w:val="bottom"/>
            <w:hideMark/>
          </w:tcPr>
          <w:p w14:paraId="5AC8443C"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19,3%</w:t>
            </w:r>
          </w:p>
        </w:tc>
        <w:tc>
          <w:tcPr>
            <w:tcW w:w="953" w:type="dxa"/>
            <w:tcBorders>
              <w:top w:val="nil"/>
              <w:left w:val="nil"/>
              <w:bottom w:val="single" w:sz="4" w:space="0" w:color="auto"/>
              <w:right w:val="single" w:sz="8" w:space="0" w:color="auto"/>
            </w:tcBorders>
            <w:shd w:val="clear" w:color="auto" w:fill="auto"/>
            <w:noWrap/>
            <w:vAlign w:val="bottom"/>
            <w:hideMark/>
          </w:tcPr>
          <w:p w14:paraId="4FEE9AB2"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19,5%</w:t>
            </w:r>
          </w:p>
        </w:tc>
      </w:tr>
      <w:tr w:rsidR="0054327E" w:rsidRPr="0054327E" w14:paraId="491F2BED" w14:textId="77777777" w:rsidTr="0054327E">
        <w:trPr>
          <w:trHeight w:val="315"/>
        </w:trPr>
        <w:tc>
          <w:tcPr>
            <w:tcW w:w="2136" w:type="dxa"/>
            <w:tcBorders>
              <w:top w:val="nil"/>
              <w:left w:val="nil"/>
              <w:bottom w:val="nil"/>
              <w:right w:val="nil"/>
            </w:tcBorders>
            <w:shd w:val="clear" w:color="auto" w:fill="auto"/>
            <w:noWrap/>
            <w:vAlign w:val="bottom"/>
            <w:hideMark/>
          </w:tcPr>
          <w:p w14:paraId="281DAAE1" w14:textId="77777777" w:rsidR="0054327E" w:rsidRPr="0054327E" w:rsidRDefault="0054327E" w:rsidP="0054327E">
            <w:pPr>
              <w:spacing w:after="0"/>
              <w:jc w:val="left"/>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EDEESTE</w:t>
            </w:r>
          </w:p>
        </w:tc>
        <w:tc>
          <w:tcPr>
            <w:tcW w:w="953" w:type="dxa"/>
            <w:tcBorders>
              <w:top w:val="nil"/>
              <w:left w:val="single" w:sz="8" w:space="0" w:color="auto"/>
              <w:bottom w:val="single" w:sz="8" w:space="0" w:color="auto"/>
              <w:right w:val="single" w:sz="4" w:space="0" w:color="auto"/>
            </w:tcBorders>
            <w:shd w:val="clear" w:color="auto" w:fill="auto"/>
            <w:noWrap/>
            <w:vAlign w:val="bottom"/>
            <w:hideMark/>
          </w:tcPr>
          <w:p w14:paraId="1531468B"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17,9%</w:t>
            </w:r>
          </w:p>
        </w:tc>
        <w:tc>
          <w:tcPr>
            <w:tcW w:w="953" w:type="dxa"/>
            <w:tcBorders>
              <w:top w:val="nil"/>
              <w:left w:val="nil"/>
              <w:bottom w:val="single" w:sz="8" w:space="0" w:color="auto"/>
              <w:right w:val="nil"/>
            </w:tcBorders>
            <w:shd w:val="clear" w:color="auto" w:fill="auto"/>
            <w:noWrap/>
            <w:vAlign w:val="bottom"/>
            <w:hideMark/>
          </w:tcPr>
          <w:p w14:paraId="1E6BFCF1"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14,0%</w:t>
            </w:r>
          </w:p>
        </w:tc>
        <w:tc>
          <w:tcPr>
            <w:tcW w:w="147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FD3771A"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17,6%</w:t>
            </w:r>
          </w:p>
        </w:tc>
        <w:tc>
          <w:tcPr>
            <w:tcW w:w="1621" w:type="dxa"/>
            <w:tcBorders>
              <w:top w:val="nil"/>
              <w:left w:val="nil"/>
              <w:bottom w:val="single" w:sz="8" w:space="0" w:color="auto"/>
              <w:right w:val="nil"/>
            </w:tcBorders>
            <w:shd w:val="clear" w:color="auto" w:fill="auto"/>
            <w:noWrap/>
            <w:vAlign w:val="bottom"/>
            <w:hideMark/>
          </w:tcPr>
          <w:p w14:paraId="5E8CFA35"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3,6%</w:t>
            </w:r>
          </w:p>
        </w:tc>
        <w:tc>
          <w:tcPr>
            <w:tcW w:w="953" w:type="dxa"/>
            <w:tcBorders>
              <w:top w:val="nil"/>
              <w:left w:val="single" w:sz="8" w:space="0" w:color="auto"/>
              <w:bottom w:val="nil"/>
              <w:right w:val="single" w:sz="4" w:space="0" w:color="auto"/>
            </w:tcBorders>
            <w:shd w:val="clear" w:color="auto" w:fill="auto"/>
            <w:noWrap/>
            <w:vAlign w:val="bottom"/>
            <w:hideMark/>
          </w:tcPr>
          <w:p w14:paraId="6167B452"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18,7%</w:t>
            </w:r>
          </w:p>
        </w:tc>
        <w:tc>
          <w:tcPr>
            <w:tcW w:w="953" w:type="dxa"/>
            <w:tcBorders>
              <w:top w:val="nil"/>
              <w:left w:val="nil"/>
              <w:bottom w:val="nil"/>
              <w:right w:val="single" w:sz="4" w:space="0" w:color="auto"/>
            </w:tcBorders>
            <w:shd w:val="clear" w:color="auto" w:fill="auto"/>
            <w:noWrap/>
            <w:vAlign w:val="bottom"/>
            <w:hideMark/>
          </w:tcPr>
          <w:p w14:paraId="627D8B4C"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17,9%</w:t>
            </w:r>
          </w:p>
        </w:tc>
        <w:tc>
          <w:tcPr>
            <w:tcW w:w="953" w:type="dxa"/>
            <w:tcBorders>
              <w:top w:val="nil"/>
              <w:left w:val="nil"/>
              <w:bottom w:val="nil"/>
              <w:right w:val="single" w:sz="8" w:space="0" w:color="auto"/>
            </w:tcBorders>
            <w:shd w:val="clear" w:color="auto" w:fill="auto"/>
            <w:noWrap/>
            <w:vAlign w:val="bottom"/>
            <w:hideMark/>
          </w:tcPr>
          <w:p w14:paraId="0555D6D4"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16,1%</w:t>
            </w:r>
          </w:p>
        </w:tc>
      </w:tr>
      <w:tr w:rsidR="0054327E" w:rsidRPr="0054327E" w14:paraId="6E91212A" w14:textId="77777777" w:rsidTr="0054327E">
        <w:trPr>
          <w:trHeight w:val="315"/>
        </w:trPr>
        <w:tc>
          <w:tcPr>
            <w:tcW w:w="2136" w:type="dxa"/>
            <w:tcBorders>
              <w:top w:val="nil"/>
              <w:left w:val="nil"/>
              <w:bottom w:val="nil"/>
              <w:right w:val="nil"/>
            </w:tcBorders>
            <w:shd w:val="clear" w:color="auto" w:fill="auto"/>
            <w:noWrap/>
            <w:vAlign w:val="bottom"/>
            <w:hideMark/>
          </w:tcPr>
          <w:p w14:paraId="4BE503AE" w14:textId="77777777" w:rsidR="0054327E" w:rsidRPr="0054327E" w:rsidRDefault="0054327E" w:rsidP="0054327E">
            <w:pPr>
              <w:spacing w:after="0"/>
              <w:jc w:val="left"/>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Promedio</w:t>
            </w:r>
          </w:p>
        </w:tc>
        <w:tc>
          <w:tcPr>
            <w:tcW w:w="953" w:type="dxa"/>
            <w:tcBorders>
              <w:top w:val="nil"/>
              <w:left w:val="single" w:sz="8" w:space="0" w:color="auto"/>
              <w:bottom w:val="single" w:sz="8" w:space="0" w:color="auto"/>
              <w:right w:val="single" w:sz="4" w:space="0" w:color="auto"/>
            </w:tcBorders>
            <w:shd w:val="clear" w:color="auto" w:fill="auto"/>
            <w:noWrap/>
            <w:vAlign w:val="bottom"/>
            <w:hideMark/>
          </w:tcPr>
          <w:p w14:paraId="2BCB0939"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18,4%</w:t>
            </w:r>
          </w:p>
        </w:tc>
        <w:tc>
          <w:tcPr>
            <w:tcW w:w="953" w:type="dxa"/>
            <w:tcBorders>
              <w:top w:val="nil"/>
              <w:left w:val="nil"/>
              <w:bottom w:val="single" w:sz="8" w:space="0" w:color="auto"/>
              <w:right w:val="nil"/>
            </w:tcBorders>
            <w:shd w:val="clear" w:color="auto" w:fill="auto"/>
            <w:noWrap/>
            <w:vAlign w:val="bottom"/>
            <w:hideMark/>
          </w:tcPr>
          <w:p w14:paraId="272D8F79"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14,0%</w:t>
            </w:r>
          </w:p>
        </w:tc>
        <w:tc>
          <w:tcPr>
            <w:tcW w:w="147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9E5DE8A"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16,7%</w:t>
            </w:r>
          </w:p>
        </w:tc>
        <w:tc>
          <w:tcPr>
            <w:tcW w:w="1621" w:type="dxa"/>
            <w:tcBorders>
              <w:top w:val="nil"/>
              <w:left w:val="nil"/>
              <w:bottom w:val="single" w:sz="8" w:space="0" w:color="auto"/>
              <w:right w:val="nil"/>
            </w:tcBorders>
            <w:shd w:val="clear" w:color="auto" w:fill="auto"/>
            <w:noWrap/>
            <w:vAlign w:val="bottom"/>
            <w:hideMark/>
          </w:tcPr>
          <w:p w14:paraId="229715D9"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2,7%</w:t>
            </w:r>
          </w:p>
        </w:tc>
        <w:tc>
          <w:tcPr>
            <w:tcW w:w="95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92DE4C6"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17,1%</w:t>
            </w:r>
          </w:p>
        </w:tc>
        <w:tc>
          <w:tcPr>
            <w:tcW w:w="95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0AE4996"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16,7%</w:t>
            </w:r>
          </w:p>
        </w:tc>
        <w:tc>
          <w:tcPr>
            <w:tcW w:w="95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949C82D" w14:textId="77777777" w:rsidR="0054327E" w:rsidRPr="0054327E" w:rsidRDefault="0054327E" w:rsidP="0054327E">
            <w:pPr>
              <w:spacing w:after="0"/>
              <w:rPr>
                <w:rFonts w:ascii="Calibri" w:eastAsia="Times New Roman" w:hAnsi="Calibri" w:cs="Calibri"/>
                <w:color w:val="000000"/>
                <w:sz w:val="22"/>
                <w:szCs w:val="22"/>
                <w:lang w:eastAsia="es-ES"/>
              </w:rPr>
            </w:pPr>
            <w:r w:rsidRPr="0054327E">
              <w:rPr>
                <w:rFonts w:ascii="Calibri" w:eastAsia="Times New Roman" w:hAnsi="Calibri" w:cs="Calibri"/>
                <w:color w:val="000000"/>
                <w:sz w:val="22"/>
                <w:szCs w:val="22"/>
                <w:lang w:eastAsia="es-ES"/>
              </w:rPr>
              <w:t>16,3%</w:t>
            </w:r>
          </w:p>
        </w:tc>
      </w:tr>
    </w:tbl>
    <w:p w14:paraId="46DB54B9" w14:textId="4315D32D" w:rsidR="007C5D61" w:rsidRPr="008B564D" w:rsidRDefault="007C5D61" w:rsidP="00D1159B">
      <w:pPr>
        <w:spacing w:line="276" w:lineRule="auto"/>
        <w:jc w:val="both"/>
        <w:rPr>
          <w:rFonts w:ascii="Arial Narrow" w:hAnsi="Arial Narrow" w:cs="Arial"/>
          <w:sz w:val="26"/>
          <w:szCs w:val="26"/>
        </w:rPr>
      </w:pPr>
    </w:p>
    <w:p w14:paraId="21872911" w14:textId="68F04925" w:rsidR="00771855" w:rsidRPr="00771855" w:rsidRDefault="00B83CCA" w:rsidP="00771855">
      <w:pPr>
        <w:jc w:val="both"/>
        <w:rPr>
          <w:rFonts w:ascii="Arial Narrow" w:hAnsi="Arial Narrow" w:cs="Arial"/>
          <w:sz w:val="26"/>
          <w:szCs w:val="26"/>
        </w:rPr>
      </w:pPr>
      <w:r>
        <w:rPr>
          <w:rFonts w:ascii="Arial Narrow" w:hAnsi="Arial Narrow" w:cs="Arial"/>
          <w:sz w:val="26"/>
          <w:szCs w:val="26"/>
        </w:rPr>
        <w:t>Al concluir el año 202</w:t>
      </w:r>
      <w:r w:rsidR="00771855">
        <w:rPr>
          <w:rFonts w:ascii="Arial Narrow" w:hAnsi="Arial Narrow" w:cs="Arial"/>
          <w:sz w:val="26"/>
          <w:szCs w:val="26"/>
        </w:rPr>
        <w:t>2</w:t>
      </w:r>
      <w:r>
        <w:rPr>
          <w:rFonts w:ascii="Arial Narrow" w:hAnsi="Arial Narrow" w:cs="Arial"/>
          <w:sz w:val="26"/>
          <w:szCs w:val="26"/>
        </w:rPr>
        <w:t xml:space="preserve"> se espera que las empresas distribuidoras lleven este indicador a un nivel de 1</w:t>
      </w:r>
      <w:r w:rsidR="005D61F2">
        <w:rPr>
          <w:rFonts w:ascii="Arial Narrow" w:hAnsi="Arial Narrow" w:cs="Arial"/>
          <w:sz w:val="26"/>
          <w:szCs w:val="26"/>
        </w:rPr>
        <w:t>4</w:t>
      </w:r>
      <w:r>
        <w:rPr>
          <w:rFonts w:ascii="Arial Narrow" w:hAnsi="Arial Narrow" w:cs="Arial"/>
          <w:sz w:val="26"/>
          <w:szCs w:val="26"/>
        </w:rPr>
        <w:t>%. Actualmente, a</w:t>
      </w:r>
      <w:r w:rsidR="0054327E">
        <w:rPr>
          <w:rFonts w:ascii="Arial Narrow" w:hAnsi="Arial Narrow" w:cs="Arial"/>
          <w:sz w:val="26"/>
          <w:szCs w:val="26"/>
        </w:rPr>
        <w:t>l segundo trimestre</w:t>
      </w:r>
      <w:r>
        <w:rPr>
          <w:rFonts w:ascii="Arial Narrow" w:hAnsi="Arial Narrow" w:cs="Arial"/>
          <w:sz w:val="26"/>
          <w:szCs w:val="26"/>
        </w:rPr>
        <w:t xml:space="preserve"> del presente año, EDENORTE destina el 1</w:t>
      </w:r>
      <w:r w:rsidR="0054327E">
        <w:rPr>
          <w:rFonts w:ascii="Arial Narrow" w:hAnsi="Arial Narrow" w:cs="Arial"/>
          <w:sz w:val="26"/>
          <w:szCs w:val="26"/>
        </w:rPr>
        <w:t>3</w:t>
      </w:r>
      <w:r>
        <w:rPr>
          <w:rFonts w:ascii="Arial Narrow" w:hAnsi="Arial Narrow" w:cs="Arial"/>
          <w:sz w:val="26"/>
          <w:szCs w:val="26"/>
        </w:rPr>
        <w:t>.</w:t>
      </w:r>
      <w:r w:rsidR="0054327E">
        <w:rPr>
          <w:rFonts w:ascii="Arial Narrow" w:hAnsi="Arial Narrow" w:cs="Arial"/>
          <w:sz w:val="26"/>
          <w:szCs w:val="26"/>
        </w:rPr>
        <w:t>3</w:t>
      </w:r>
      <w:r>
        <w:rPr>
          <w:rFonts w:ascii="Arial Narrow" w:hAnsi="Arial Narrow" w:cs="Arial"/>
          <w:sz w:val="26"/>
          <w:szCs w:val="26"/>
        </w:rPr>
        <w:t xml:space="preserve">% de sus ingresos por venta de energía a Gastos Operativos. EDESUR destina el </w:t>
      </w:r>
      <w:r w:rsidR="001E7000">
        <w:rPr>
          <w:rFonts w:ascii="Arial Narrow" w:hAnsi="Arial Narrow" w:cs="Arial"/>
          <w:sz w:val="26"/>
          <w:szCs w:val="26"/>
        </w:rPr>
        <w:t>1</w:t>
      </w:r>
      <w:r w:rsidR="0054327E">
        <w:rPr>
          <w:rFonts w:ascii="Arial Narrow" w:hAnsi="Arial Narrow" w:cs="Arial"/>
          <w:sz w:val="26"/>
          <w:szCs w:val="26"/>
        </w:rPr>
        <w:t>9</w:t>
      </w:r>
      <w:r>
        <w:rPr>
          <w:rFonts w:ascii="Arial Narrow" w:hAnsi="Arial Narrow" w:cs="Arial"/>
          <w:sz w:val="26"/>
          <w:szCs w:val="26"/>
        </w:rPr>
        <w:t>.</w:t>
      </w:r>
      <w:r w:rsidR="0054327E">
        <w:rPr>
          <w:rFonts w:ascii="Arial Narrow" w:hAnsi="Arial Narrow" w:cs="Arial"/>
          <w:sz w:val="26"/>
          <w:szCs w:val="26"/>
        </w:rPr>
        <w:t>2</w:t>
      </w:r>
      <w:r>
        <w:rPr>
          <w:rFonts w:ascii="Arial Narrow" w:hAnsi="Arial Narrow" w:cs="Arial"/>
          <w:sz w:val="26"/>
          <w:szCs w:val="26"/>
        </w:rPr>
        <w:t>%, mientras que EDEESTE alcanza el 1</w:t>
      </w:r>
      <w:r w:rsidR="0054327E">
        <w:rPr>
          <w:rFonts w:ascii="Arial Narrow" w:hAnsi="Arial Narrow" w:cs="Arial"/>
          <w:sz w:val="26"/>
          <w:szCs w:val="26"/>
        </w:rPr>
        <w:t>7</w:t>
      </w:r>
      <w:r>
        <w:rPr>
          <w:rFonts w:ascii="Arial Narrow" w:hAnsi="Arial Narrow" w:cs="Arial"/>
          <w:sz w:val="26"/>
          <w:szCs w:val="26"/>
        </w:rPr>
        <w:t>.</w:t>
      </w:r>
      <w:r w:rsidR="0054327E">
        <w:rPr>
          <w:rFonts w:ascii="Arial Narrow" w:hAnsi="Arial Narrow" w:cs="Arial"/>
          <w:sz w:val="26"/>
          <w:szCs w:val="26"/>
        </w:rPr>
        <w:t>6</w:t>
      </w:r>
      <w:r>
        <w:rPr>
          <w:rFonts w:ascii="Arial Narrow" w:hAnsi="Arial Narrow" w:cs="Arial"/>
          <w:sz w:val="26"/>
          <w:szCs w:val="26"/>
        </w:rPr>
        <w:t xml:space="preserve">%. </w:t>
      </w:r>
    </w:p>
    <w:p w14:paraId="3EB427C5" w14:textId="14B1D3D1" w:rsidR="00E078C3" w:rsidRDefault="00E078C3" w:rsidP="00E078C3">
      <w:pPr>
        <w:pStyle w:val="Prrafodelista"/>
        <w:spacing w:line="276" w:lineRule="auto"/>
        <w:ind w:left="1137"/>
        <w:jc w:val="both"/>
        <w:rPr>
          <w:rFonts w:ascii="Arial Narrow" w:hAnsi="Arial Narrow" w:cs="Arial"/>
          <w:sz w:val="26"/>
          <w:szCs w:val="26"/>
        </w:rPr>
      </w:pPr>
    </w:p>
    <w:p w14:paraId="0517AE81" w14:textId="788E3977" w:rsidR="00771855" w:rsidRDefault="00771855" w:rsidP="00E078C3">
      <w:pPr>
        <w:pStyle w:val="Prrafodelista"/>
        <w:spacing w:line="276" w:lineRule="auto"/>
        <w:ind w:left="1137"/>
        <w:jc w:val="both"/>
        <w:rPr>
          <w:rFonts w:ascii="Arial Narrow" w:hAnsi="Arial Narrow" w:cs="Arial"/>
          <w:sz w:val="26"/>
          <w:szCs w:val="26"/>
        </w:rPr>
      </w:pPr>
    </w:p>
    <w:bookmarkEnd w:id="1"/>
    <w:p w14:paraId="38D25505" w14:textId="74A954AF" w:rsidR="00E078C3" w:rsidRPr="00456246" w:rsidRDefault="00E078C3" w:rsidP="00456246"/>
    <w:sectPr w:rsidR="00E078C3" w:rsidRPr="00456246" w:rsidSect="00C11283">
      <w:headerReference w:type="default" r:id="rId9"/>
      <w:footerReference w:type="default" r:id="rId10"/>
      <w:footerReference w:type="first" r:id="rId11"/>
      <w:pgSz w:w="12240" w:h="15840" w:code="1"/>
      <w:pgMar w:top="284" w:right="1701" w:bottom="1276" w:left="1701" w:header="426"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7A76" w14:textId="77777777" w:rsidR="00B63E31" w:rsidRDefault="00B63E31" w:rsidP="00632F4E">
      <w:r>
        <w:separator/>
      </w:r>
    </w:p>
  </w:endnote>
  <w:endnote w:type="continuationSeparator" w:id="0">
    <w:p w14:paraId="1E5D9AB1" w14:textId="77777777" w:rsidR="00B63E31" w:rsidRDefault="00B63E31" w:rsidP="0063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003"/>
    </w:tblGrid>
    <w:tr w:rsidR="00B71001" w:rsidRPr="00632F4E" w14:paraId="58E11598" w14:textId="77777777" w:rsidTr="007E0762">
      <w:trPr>
        <w:trHeight w:val="411"/>
      </w:trPr>
      <w:tc>
        <w:tcPr>
          <w:tcW w:w="4962" w:type="dxa"/>
          <w:shd w:val="clear" w:color="auto" w:fill="auto"/>
          <w:vAlign w:val="center"/>
        </w:tcPr>
        <w:p w14:paraId="587B2917" w14:textId="77777777" w:rsidR="00B71001" w:rsidRPr="00632F4E" w:rsidRDefault="00B71001" w:rsidP="00EE783C">
          <w:pPr>
            <w:spacing w:before="100" w:beforeAutospacing="1" w:after="100" w:afterAutospacing="1"/>
            <w:rPr>
              <w:rFonts w:ascii="Segoe UI Light" w:eastAsia="Times New Roman" w:hAnsi="Segoe UI Light" w:cs="Segoe UI Light"/>
              <w:b/>
              <w:color w:val="000000"/>
              <w:sz w:val="20"/>
              <w:szCs w:val="20"/>
            </w:rPr>
          </w:pPr>
          <w:r w:rsidRPr="00632F4E">
            <w:rPr>
              <w:rFonts w:ascii="Segoe UI Light" w:eastAsia="Times New Roman" w:hAnsi="Segoe UI Light" w:cs="Segoe UI Light"/>
              <w:b/>
              <w:color w:val="000000"/>
              <w:sz w:val="20"/>
              <w:szCs w:val="20"/>
            </w:rPr>
            <w:t>Elaborado por</w:t>
          </w:r>
        </w:p>
      </w:tc>
      <w:tc>
        <w:tcPr>
          <w:tcW w:w="5003" w:type="dxa"/>
          <w:shd w:val="clear" w:color="auto" w:fill="auto"/>
          <w:vAlign w:val="center"/>
        </w:tcPr>
        <w:p w14:paraId="07E43565" w14:textId="77777777" w:rsidR="00B71001" w:rsidRPr="00632F4E" w:rsidRDefault="00B71001" w:rsidP="00EE783C">
          <w:pPr>
            <w:spacing w:before="100" w:beforeAutospacing="1" w:after="100" w:afterAutospacing="1"/>
            <w:rPr>
              <w:rFonts w:ascii="Segoe UI Light" w:eastAsia="Times New Roman" w:hAnsi="Segoe UI Light" w:cs="Segoe UI Light"/>
              <w:b/>
              <w:color w:val="000000"/>
              <w:sz w:val="20"/>
              <w:szCs w:val="20"/>
            </w:rPr>
          </w:pPr>
          <w:r w:rsidRPr="00632F4E">
            <w:rPr>
              <w:rFonts w:ascii="Segoe UI Light" w:eastAsia="Times New Roman" w:hAnsi="Segoe UI Light" w:cs="Segoe UI Light"/>
              <w:b/>
              <w:color w:val="000000"/>
              <w:sz w:val="20"/>
              <w:szCs w:val="20"/>
            </w:rPr>
            <w:t>Revisado / Aprobado por</w:t>
          </w:r>
        </w:p>
      </w:tc>
    </w:tr>
    <w:tr w:rsidR="00B71001" w:rsidRPr="00632F4E" w14:paraId="3818DB0E" w14:textId="77777777" w:rsidTr="00B03FBF">
      <w:trPr>
        <w:trHeight w:val="416"/>
      </w:trPr>
      <w:tc>
        <w:tcPr>
          <w:tcW w:w="4962" w:type="dxa"/>
          <w:shd w:val="clear" w:color="auto" w:fill="auto"/>
          <w:vAlign w:val="center"/>
        </w:tcPr>
        <w:p w14:paraId="60F8CCEE" w14:textId="5D71B4F9" w:rsidR="00B71001" w:rsidRPr="00632F4E" w:rsidRDefault="00B71001" w:rsidP="00B71001">
          <w:pPr>
            <w:spacing w:line="240" w:lineRule="atLeast"/>
            <w:rPr>
              <w:rFonts w:ascii="Segoe UI Light" w:eastAsia="Times New Roman" w:hAnsi="Segoe UI Light" w:cs="Segoe UI Light"/>
              <w:color w:val="000000"/>
              <w:sz w:val="20"/>
              <w:szCs w:val="20"/>
            </w:rPr>
          </w:pPr>
          <w:r>
            <w:rPr>
              <w:rFonts w:ascii="Segoe UI Light" w:eastAsia="Times New Roman" w:hAnsi="Segoe UI Light" w:cs="Segoe UI Light"/>
              <w:color w:val="000000"/>
              <w:sz w:val="20"/>
              <w:szCs w:val="20"/>
            </w:rPr>
            <w:t>Luis Villar Monteagudo</w:t>
          </w:r>
          <w:r w:rsidRPr="00632F4E">
            <w:rPr>
              <w:rFonts w:ascii="Segoe UI Light" w:eastAsia="Times New Roman" w:hAnsi="Segoe UI Light" w:cs="Segoe UI Light"/>
              <w:color w:val="000000"/>
              <w:sz w:val="20"/>
              <w:szCs w:val="20"/>
            </w:rPr>
            <w:t xml:space="preserve"> – </w:t>
          </w:r>
          <w:r w:rsidR="007C5804">
            <w:rPr>
              <w:rFonts w:ascii="Segoe UI Light" w:eastAsia="Times New Roman" w:hAnsi="Segoe UI Light" w:cs="Segoe UI Light"/>
              <w:color w:val="000000"/>
              <w:sz w:val="20"/>
              <w:szCs w:val="20"/>
            </w:rPr>
            <w:t>Profesional Sr.</w:t>
          </w:r>
        </w:p>
      </w:tc>
      <w:tc>
        <w:tcPr>
          <w:tcW w:w="5003" w:type="dxa"/>
          <w:shd w:val="clear" w:color="auto" w:fill="auto"/>
          <w:vAlign w:val="center"/>
        </w:tcPr>
        <w:p w14:paraId="7DED8257" w14:textId="6B2FC3A7" w:rsidR="00B71001" w:rsidRDefault="007C5804" w:rsidP="00B71001">
          <w:pPr>
            <w:ind w:left="-109" w:right="-111"/>
            <w:rPr>
              <w:rFonts w:ascii="Segoe UI Light" w:eastAsia="Times New Roman" w:hAnsi="Segoe UI Light" w:cs="Segoe UI Light"/>
              <w:color w:val="000000"/>
              <w:sz w:val="20"/>
              <w:szCs w:val="20"/>
            </w:rPr>
          </w:pPr>
          <w:r>
            <w:rPr>
              <w:rFonts w:ascii="Segoe UI Light" w:eastAsia="Times New Roman" w:hAnsi="Segoe UI Light" w:cs="Segoe UI Light"/>
              <w:color w:val="000000"/>
              <w:sz w:val="20"/>
              <w:szCs w:val="20"/>
            </w:rPr>
            <w:t xml:space="preserve">Leonardo Cordini </w:t>
          </w:r>
          <w:r w:rsidRPr="00632F4E">
            <w:rPr>
              <w:rFonts w:ascii="Segoe UI Light" w:eastAsia="Times New Roman" w:hAnsi="Segoe UI Light" w:cs="Segoe UI Light"/>
              <w:color w:val="000000"/>
              <w:sz w:val="20"/>
              <w:szCs w:val="20"/>
            </w:rPr>
            <w:t>–</w:t>
          </w:r>
          <w:r w:rsidR="00B71001" w:rsidRPr="00632F4E">
            <w:rPr>
              <w:rFonts w:ascii="Segoe UI Light" w:eastAsia="Times New Roman" w:hAnsi="Segoe UI Light" w:cs="Segoe UI Light"/>
              <w:color w:val="000000"/>
              <w:sz w:val="20"/>
              <w:szCs w:val="20"/>
            </w:rPr>
            <w:t xml:space="preserve"> </w:t>
          </w:r>
          <w:r>
            <w:rPr>
              <w:rFonts w:ascii="Segoe UI Light" w:eastAsia="Times New Roman" w:hAnsi="Segoe UI Light" w:cs="Segoe UI Light"/>
              <w:color w:val="000000"/>
              <w:sz w:val="20"/>
              <w:szCs w:val="20"/>
            </w:rPr>
            <w:t xml:space="preserve">Gerente de Estadística </w:t>
          </w:r>
        </w:p>
        <w:p w14:paraId="43DAB32F" w14:textId="792790DE" w:rsidR="00B71001" w:rsidRPr="00632F4E" w:rsidRDefault="00B71001" w:rsidP="00B71001">
          <w:pPr>
            <w:ind w:left="-109" w:right="-111"/>
            <w:rPr>
              <w:rFonts w:ascii="Segoe UI Light" w:eastAsia="Times New Roman" w:hAnsi="Segoe UI Light" w:cs="Segoe UI Light"/>
              <w:color w:val="000000"/>
              <w:sz w:val="20"/>
              <w:szCs w:val="20"/>
            </w:rPr>
          </w:pPr>
          <w:r>
            <w:rPr>
              <w:rFonts w:ascii="Segoe UI Light" w:eastAsia="Times New Roman" w:hAnsi="Segoe UI Light" w:cs="Segoe UI Light"/>
              <w:color w:val="000000"/>
              <w:sz w:val="20"/>
              <w:szCs w:val="20"/>
            </w:rPr>
            <w:t>César Olivero Castillo</w:t>
          </w:r>
          <w:r w:rsidRPr="00632F4E">
            <w:rPr>
              <w:rFonts w:ascii="Segoe UI Light" w:eastAsia="Times New Roman" w:hAnsi="Segoe UI Light" w:cs="Segoe UI Light"/>
              <w:color w:val="000000"/>
              <w:sz w:val="20"/>
              <w:szCs w:val="20"/>
            </w:rPr>
            <w:t xml:space="preserve"> – </w:t>
          </w:r>
          <w:proofErr w:type="gramStart"/>
          <w:r w:rsidRPr="00632F4E">
            <w:rPr>
              <w:rFonts w:ascii="Segoe UI Light" w:eastAsia="Times New Roman" w:hAnsi="Segoe UI Light" w:cs="Segoe UI Light"/>
              <w:color w:val="000000"/>
              <w:sz w:val="20"/>
              <w:szCs w:val="20"/>
            </w:rPr>
            <w:t>Director</w:t>
          </w:r>
          <w:proofErr w:type="gramEnd"/>
          <w:r w:rsidRPr="00632F4E">
            <w:rPr>
              <w:rFonts w:ascii="Segoe UI Light" w:eastAsia="Times New Roman" w:hAnsi="Segoe UI Light" w:cs="Segoe UI Light"/>
              <w:color w:val="000000"/>
              <w:sz w:val="20"/>
              <w:szCs w:val="20"/>
            </w:rPr>
            <w:t xml:space="preserve"> de Regulación</w:t>
          </w:r>
          <w:r>
            <w:rPr>
              <w:rFonts w:ascii="Segoe UI Light" w:eastAsia="Times New Roman" w:hAnsi="Segoe UI Light" w:cs="Segoe UI Light"/>
              <w:color w:val="000000"/>
              <w:sz w:val="20"/>
              <w:szCs w:val="20"/>
            </w:rPr>
            <w:t xml:space="preserve"> y DRFMEMI</w:t>
          </w:r>
        </w:p>
      </w:tc>
    </w:tr>
  </w:tbl>
  <w:p w14:paraId="6126C90D" w14:textId="472D1E25" w:rsidR="00B71001" w:rsidRPr="00EE783C" w:rsidRDefault="00B71001" w:rsidP="00EE78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003"/>
    </w:tblGrid>
    <w:tr w:rsidR="00B71001" w:rsidRPr="00632F4E" w14:paraId="69A05B98" w14:textId="77777777" w:rsidTr="009A093A">
      <w:trPr>
        <w:trHeight w:val="411"/>
      </w:trPr>
      <w:tc>
        <w:tcPr>
          <w:tcW w:w="4962" w:type="dxa"/>
          <w:shd w:val="clear" w:color="auto" w:fill="auto"/>
          <w:vAlign w:val="center"/>
        </w:tcPr>
        <w:p w14:paraId="06A2A4F3" w14:textId="77777777" w:rsidR="00B71001" w:rsidRPr="00632F4E" w:rsidRDefault="00B71001" w:rsidP="009A093A">
          <w:pPr>
            <w:spacing w:before="100" w:beforeAutospacing="1" w:after="100" w:afterAutospacing="1"/>
            <w:rPr>
              <w:rFonts w:ascii="Segoe UI Light" w:eastAsia="Times New Roman" w:hAnsi="Segoe UI Light" w:cs="Segoe UI Light"/>
              <w:b/>
              <w:color w:val="000000"/>
              <w:sz w:val="20"/>
              <w:szCs w:val="20"/>
            </w:rPr>
          </w:pPr>
          <w:r w:rsidRPr="00632F4E">
            <w:rPr>
              <w:rFonts w:ascii="Segoe UI Light" w:eastAsia="Times New Roman" w:hAnsi="Segoe UI Light" w:cs="Segoe UI Light"/>
              <w:b/>
              <w:color w:val="000000"/>
              <w:sz w:val="20"/>
              <w:szCs w:val="20"/>
            </w:rPr>
            <w:t>Elaborado por</w:t>
          </w:r>
        </w:p>
      </w:tc>
      <w:tc>
        <w:tcPr>
          <w:tcW w:w="5003" w:type="dxa"/>
          <w:shd w:val="clear" w:color="auto" w:fill="auto"/>
          <w:vAlign w:val="center"/>
        </w:tcPr>
        <w:p w14:paraId="289EA804" w14:textId="77777777" w:rsidR="00B71001" w:rsidRPr="00632F4E" w:rsidRDefault="00B71001" w:rsidP="009A093A">
          <w:pPr>
            <w:spacing w:before="100" w:beforeAutospacing="1" w:after="100" w:afterAutospacing="1"/>
            <w:rPr>
              <w:rFonts w:ascii="Segoe UI Light" w:eastAsia="Times New Roman" w:hAnsi="Segoe UI Light" w:cs="Segoe UI Light"/>
              <w:b/>
              <w:color w:val="000000"/>
              <w:sz w:val="20"/>
              <w:szCs w:val="20"/>
            </w:rPr>
          </w:pPr>
          <w:r w:rsidRPr="00632F4E">
            <w:rPr>
              <w:rFonts w:ascii="Segoe UI Light" w:eastAsia="Times New Roman" w:hAnsi="Segoe UI Light" w:cs="Segoe UI Light"/>
              <w:b/>
              <w:color w:val="000000"/>
              <w:sz w:val="20"/>
              <w:szCs w:val="20"/>
            </w:rPr>
            <w:t>Revisado / Aprobado por</w:t>
          </w:r>
        </w:p>
      </w:tc>
    </w:tr>
    <w:tr w:rsidR="00B71001" w:rsidRPr="00632F4E" w14:paraId="111046EC" w14:textId="77777777" w:rsidTr="00B03FBF">
      <w:trPr>
        <w:trHeight w:val="274"/>
      </w:trPr>
      <w:tc>
        <w:tcPr>
          <w:tcW w:w="4962" w:type="dxa"/>
          <w:shd w:val="clear" w:color="auto" w:fill="auto"/>
          <w:vAlign w:val="center"/>
        </w:tcPr>
        <w:p w14:paraId="7D77C202" w14:textId="017961E5" w:rsidR="00B71001" w:rsidRPr="00632F4E" w:rsidRDefault="007C5804" w:rsidP="007C5804">
          <w:pPr>
            <w:spacing w:line="240" w:lineRule="atLeast"/>
            <w:ind w:left="708" w:hanging="708"/>
            <w:rPr>
              <w:rFonts w:ascii="Segoe UI Light" w:eastAsia="Times New Roman" w:hAnsi="Segoe UI Light" w:cs="Segoe UI Light"/>
              <w:color w:val="000000"/>
              <w:sz w:val="20"/>
              <w:szCs w:val="20"/>
            </w:rPr>
          </w:pPr>
          <w:r>
            <w:rPr>
              <w:rFonts w:ascii="Segoe UI Light" w:eastAsia="Times New Roman" w:hAnsi="Segoe UI Light" w:cs="Segoe UI Light"/>
              <w:color w:val="000000"/>
              <w:sz w:val="20"/>
              <w:szCs w:val="20"/>
            </w:rPr>
            <w:t>Luis Villar Monteagudo</w:t>
          </w:r>
          <w:r w:rsidRPr="00632F4E">
            <w:rPr>
              <w:rFonts w:ascii="Segoe UI Light" w:eastAsia="Times New Roman" w:hAnsi="Segoe UI Light" w:cs="Segoe UI Light"/>
              <w:color w:val="000000"/>
              <w:sz w:val="20"/>
              <w:szCs w:val="20"/>
            </w:rPr>
            <w:t xml:space="preserve"> – </w:t>
          </w:r>
          <w:r>
            <w:rPr>
              <w:rFonts w:ascii="Segoe UI Light" w:eastAsia="Times New Roman" w:hAnsi="Segoe UI Light" w:cs="Segoe UI Light"/>
              <w:color w:val="000000"/>
              <w:sz w:val="20"/>
              <w:szCs w:val="20"/>
            </w:rPr>
            <w:t>Profesional Sr.</w:t>
          </w:r>
        </w:p>
      </w:tc>
      <w:tc>
        <w:tcPr>
          <w:tcW w:w="5003" w:type="dxa"/>
          <w:shd w:val="clear" w:color="auto" w:fill="auto"/>
          <w:vAlign w:val="center"/>
        </w:tcPr>
        <w:p w14:paraId="765AB64B" w14:textId="56F1BCCA" w:rsidR="00B71001" w:rsidRPr="00632F4E" w:rsidRDefault="00B71001" w:rsidP="001C1E8F">
          <w:pPr>
            <w:ind w:left="-109" w:right="-111"/>
            <w:rPr>
              <w:rFonts w:ascii="Segoe UI Light" w:eastAsia="Times New Roman" w:hAnsi="Segoe UI Light" w:cs="Segoe UI Light"/>
              <w:color w:val="000000"/>
              <w:sz w:val="20"/>
              <w:szCs w:val="20"/>
            </w:rPr>
          </w:pPr>
          <w:r>
            <w:rPr>
              <w:rFonts w:ascii="Segoe UI Light" w:eastAsia="Times New Roman" w:hAnsi="Segoe UI Light" w:cs="Segoe UI Light"/>
              <w:color w:val="000000"/>
              <w:sz w:val="20"/>
              <w:szCs w:val="20"/>
            </w:rPr>
            <w:t>César Olivero Castillo</w:t>
          </w:r>
          <w:r w:rsidRPr="00632F4E">
            <w:rPr>
              <w:rFonts w:ascii="Segoe UI Light" w:eastAsia="Times New Roman" w:hAnsi="Segoe UI Light" w:cs="Segoe UI Light"/>
              <w:color w:val="000000"/>
              <w:sz w:val="20"/>
              <w:szCs w:val="20"/>
            </w:rPr>
            <w:t xml:space="preserve"> – </w:t>
          </w:r>
          <w:proofErr w:type="gramStart"/>
          <w:r w:rsidRPr="00632F4E">
            <w:rPr>
              <w:rFonts w:ascii="Segoe UI Light" w:eastAsia="Times New Roman" w:hAnsi="Segoe UI Light" w:cs="Segoe UI Light"/>
              <w:color w:val="000000"/>
              <w:sz w:val="20"/>
              <w:szCs w:val="20"/>
            </w:rPr>
            <w:t>Director</w:t>
          </w:r>
          <w:proofErr w:type="gramEnd"/>
          <w:r w:rsidRPr="00632F4E">
            <w:rPr>
              <w:rFonts w:ascii="Segoe UI Light" w:eastAsia="Times New Roman" w:hAnsi="Segoe UI Light" w:cs="Segoe UI Light"/>
              <w:color w:val="000000"/>
              <w:sz w:val="20"/>
              <w:szCs w:val="20"/>
            </w:rPr>
            <w:t xml:space="preserve"> de Regulación</w:t>
          </w:r>
          <w:r>
            <w:rPr>
              <w:rFonts w:ascii="Segoe UI Light" w:eastAsia="Times New Roman" w:hAnsi="Segoe UI Light" w:cs="Segoe UI Light"/>
              <w:color w:val="000000"/>
              <w:sz w:val="20"/>
              <w:szCs w:val="20"/>
            </w:rPr>
            <w:t xml:space="preserve"> y DRFMEMI</w:t>
          </w:r>
        </w:p>
      </w:tc>
    </w:tr>
  </w:tbl>
  <w:p w14:paraId="387D7FF6" w14:textId="77777777" w:rsidR="00B71001" w:rsidRDefault="00B710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509D" w14:textId="77777777" w:rsidR="00B63E31" w:rsidRDefault="00B63E31" w:rsidP="00632F4E">
      <w:bookmarkStart w:id="0" w:name="_Hlk22735662"/>
      <w:bookmarkEnd w:id="0"/>
      <w:r>
        <w:separator/>
      </w:r>
    </w:p>
  </w:footnote>
  <w:footnote w:type="continuationSeparator" w:id="0">
    <w:p w14:paraId="7D4E4AF8" w14:textId="77777777" w:rsidR="00B63E31" w:rsidRDefault="00B63E31" w:rsidP="00632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E218" w14:textId="6E21D49B" w:rsidR="00B71001" w:rsidRDefault="00B71001" w:rsidP="00EE783C">
    <w:pPr>
      <w:tabs>
        <w:tab w:val="center" w:pos="4252"/>
        <w:tab w:val="right" w:pos="9356"/>
      </w:tabs>
      <w:spacing w:after="0"/>
      <w:rPr>
        <w:rFonts w:ascii="Segoe UI Light" w:hAnsi="Segoe UI Light" w:cs="Segoe UI Light"/>
        <w:b/>
        <w:lang w:val="sq-AL"/>
      </w:rPr>
    </w:pPr>
    <w:r>
      <w:rPr>
        <w:noProof/>
        <w:lang w:val="es-DO" w:eastAsia="es-DO"/>
      </w:rPr>
      <w:drawing>
        <wp:anchor distT="0" distB="0" distL="114300" distR="114300" simplePos="0" relativeHeight="251658240" behindDoc="1" locked="0" layoutInCell="1" allowOverlap="1" wp14:anchorId="62CA2E58" wp14:editId="0707071B">
          <wp:simplePos x="0" y="0"/>
          <wp:positionH relativeFrom="margin">
            <wp:posOffset>4844415</wp:posOffset>
          </wp:positionH>
          <wp:positionV relativeFrom="paragraph">
            <wp:posOffset>24765</wp:posOffset>
          </wp:positionV>
          <wp:extent cx="797560" cy="638175"/>
          <wp:effectExtent l="0" t="0" r="2540" b="9525"/>
          <wp:wrapTight wrapText="bothSides">
            <wp:wrapPolygon edited="0">
              <wp:start x="0" y="0"/>
              <wp:lineTo x="0" y="21278"/>
              <wp:lineTo x="21153" y="21278"/>
              <wp:lineTo x="21153" y="0"/>
              <wp:lineTo x="0" y="0"/>
            </wp:wrapPolygon>
          </wp:wrapTight>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CD9B0C" w14:textId="77777777" w:rsidR="00B71001" w:rsidRDefault="00B71001" w:rsidP="00EE783C">
    <w:pPr>
      <w:tabs>
        <w:tab w:val="center" w:pos="4252"/>
        <w:tab w:val="right" w:pos="9356"/>
      </w:tabs>
      <w:spacing w:after="0"/>
      <w:rPr>
        <w:rFonts w:ascii="Segoe UI Light" w:hAnsi="Segoe UI Light" w:cs="Segoe UI Light"/>
        <w:b/>
        <w:lang w:val="sq-AL"/>
      </w:rPr>
    </w:pPr>
  </w:p>
  <w:p w14:paraId="07C5703C" w14:textId="77777777" w:rsidR="00B71001" w:rsidRDefault="00B71001" w:rsidP="00EE783C">
    <w:pPr>
      <w:tabs>
        <w:tab w:val="center" w:pos="4252"/>
        <w:tab w:val="right" w:pos="9356"/>
      </w:tabs>
      <w:spacing w:after="0"/>
      <w:rPr>
        <w:rFonts w:ascii="Segoe UI Light" w:hAnsi="Segoe UI Light" w:cs="Segoe UI Light"/>
        <w:b/>
        <w:lang w:val="sq-AL"/>
      </w:rPr>
    </w:pPr>
  </w:p>
  <w:p w14:paraId="4C4DD59D" w14:textId="77777777" w:rsidR="00B71001" w:rsidRDefault="00B71001" w:rsidP="00EE783C">
    <w:pPr>
      <w:tabs>
        <w:tab w:val="center" w:pos="4252"/>
        <w:tab w:val="right" w:pos="9356"/>
      </w:tabs>
      <w:spacing w:after="0"/>
      <w:rPr>
        <w:rFonts w:ascii="Segoe UI Light" w:hAnsi="Segoe UI Light" w:cs="Segoe UI Light"/>
        <w:b/>
        <w:lang w:val="sq-AL"/>
      </w:rPr>
    </w:pPr>
  </w:p>
  <w:p w14:paraId="477D9E2B" w14:textId="722BEB91" w:rsidR="00B71001" w:rsidRPr="00632F4E" w:rsidRDefault="00B71001" w:rsidP="001C1E8F">
    <w:pPr>
      <w:tabs>
        <w:tab w:val="center" w:pos="4252"/>
        <w:tab w:val="right" w:pos="9356"/>
      </w:tabs>
      <w:spacing w:after="0"/>
      <w:ind w:left="3540" w:hanging="3540"/>
      <w:jc w:val="both"/>
      <w:rPr>
        <w:rFonts w:ascii="Segoe UI Light" w:hAnsi="Segoe UI Light" w:cs="Segoe UI Light"/>
        <w:b/>
        <w:lang w:val="sq-AL"/>
      </w:rPr>
    </w:pPr>
    <w:r w:rsidRPr="00632F4E">
      <w:rPr>
        <w:rFonts w:ascii="Segoe UI Light" w:hAnsi="Segoe UI Light" w:cs="Segoe UI Light"/>
        <w:b/>
        <w:lang w:val="sq-AL"/>
      </w:rPr>
      <w:t>INFORME DE PROYECTO</w:t>
    </w:r>
    <w:r>
      <w:rPr>
        <w:rFonts w:ascii="Segoe UI Light" w:hAnsi="Segoe UI Light" w:cs="Segoe UI Light"/>
        <w:b/>
        <w:lang w:val="sq-AL"/>
      </w:rPr>
      <w:t xml:space="preserve">                                                          DIRECCIÓN DE REGULACIÓN Y FMEMI</w:t>
    </w:r>
  </w:p>
  <w:p w14:paraId="3929A0D4" w14:textId="19C27A14" w:rsidR="00B71001" w:rsidRPr="00084A36" w:rsidRDefault="00B71001" w:rsidP="00EE783C">
    <w:pPr>
      <w:spacing w:after="0"/>
      <w:jc w:val="both"/>
      <w:rPr>
        <w:rFonts w:ascii="Segoe UI Light" w:hAnsi="Segoe UI Light" w:cs="Segoe UI Light"/>
        <w:b/>
        <w:bCs/>
        <w:sz w:val="14"/>
        <w:szCs w:val="14"/>
        <w:lang w:val="es-419" w:eastAsia="es-419"/>
      </w:rPr>
    </w:pPr>
    <w:r w:rsidRPr="00632F4E">
      <w:rPr>
        <w:rFonts w:ascii="Segoe UI Light" w:hAnsi="Segoe UI Light" w:cs="Segoe UI Light"/>
        <w:b/>
        <w:lang w:val="sq-AL"/>
      </w:rPr>
      <w:t>NÚM.</w:t>
    </w:r>
    <w:r w:rsidRPr="00632F4E">
      <w:rPr>
        <w:rFonts w:ascii="Segoe UI Light" w:hAnsi="Segoe UI Light" w:cs="Segoe UI Light"/>
        <w:b/>
        <w:bCs/>
      </w:rPr>
      <w:t xml:space="preserve"> IF-DR</w:t>
    </w:r>
    <w:r>
      <w:rPr>
        <w:rFonts w:ascii="Segoe UI Light" w:hAnsi="Segoe UI Light" w:cs="Segoe UI Light"/>
        <w:b/>
        <w:bCs/>
      </w:rPr>
      <w:t>FMEMI</w:t>
    </w:r>
    <w:r w:rsidRPr="00632F4E">
      <w:rPr>
        <w:rFonts w:ascii="Segoe UI Light" w:hAnsi="Segoe UI Light" w:cs="Segoe UI Light"/>
        <w:b/>
        <w:bCs/>
      </w:rPr>
      <w:t>-</w:t>
    </w:r>
    <w:r>
      <w:rPr>
        <w:rFonts w:ascii="Segoe UI Light" w:hAnsi="Segoe UI Light" w:cs="Segoe UI Light"/>
        <w:b/>
        <w:bCs/>
      </w:rPr>
      <w:t>XX-22</w:t>
    </w:r>
    <w:r w:rsidRPr="00632F4E">
      <w:rPr>
        <w:rFonts w:ascii="Segoe UI Light" w:hAnsi="Segoe UI Light" w:cs="Segoe UI Light"/>
        <w:b/>
        <w:lang w:val="sq-AL"/>
      </w:rPr>
      <w:t xml:space="preserve">      </w:t>
    </w:r>
    <w:r>
      <w:rPr>
        <w:rFonts w:ascii="Segoe UI Light" w:hAnsi="Segoe UI Light" w:cs="Segoe UI Light"/>
        <w:b/>
        <w:lang w:val="sq-AL"/>
      </w:rPr>
      <w:t xml:space="preserve">          </w:t>
    </w:r>
    <w:r>
      <w:rPr>
        <w:rFonts w:ascii="Segoe UI Light" w:hAnsi="Segoe UI Light" w:cs="Segoe UI Light"/>
        <w:b/>
        <w:lang w:val="sq-AL"/>
      </w:rPr>
      <w:tab/>
    </w:r>
    <w:r w:rsidRPr="00632F4E">
      <w:rPr>
        <w:rFonts w:ascii="Segoe UI Light" w:hAnsi="Segoe UI Light" w:cs="Segoe UI Light"/>
        <w:b/>
        <w:lang w:val="sq-AL"/>
      </w:rPr>
      <w:t xml:space="preserve">                                    </w:t>
    </w:r>
    <w:r w:rsidRPr="00632F4E">
      <w:rPr>
        <w:rFonts w:ascii="Segoe UI Light" w:hAnsi="Segoe UI Light" w:cs="Segoe UI Light"/>
        <w:b/>
        <w:lang w:val="sq-AL"/>
      </w:rPr>
      <w:tab/>
      <w:t xml:space="preserve"> </w:t>
    </w:r>
    <w:r>
      <w:rPr>
        <w:rFonts w:ascii="Segoe UI Light" w:hAnsi="Segoe UI Light" w:cs="Segoe UI Light"/>
        <w:b/>
        <w:color w:val="FF0000"/>
        <w:lang w:val="sq-AL"/>
      </w:rPr>
      <w:t xml:space="preserve">                     </w:t>
    </w:r>
    <w:r w:rsidRPr="00162EB6">
      <w:rPr>
        <w:rFonts w:ascii="Segoe UI Light" w:hAnsi="Segoe UI Light" w:cs="Segoe UI Light"/>
        <w:b/>
        <w:sz w:val="20"/>
        <w:szCs w:val="20"/>
        <w:lang w:val="sq-AL"/>
      </w:rPr>
      <w:t xml:space="preserve">Gerencia de </w:t>
    </w:r>
    <w:r>
      <w:rPr>
        <w:rFonts w:ascii="Segoe UI Light" w:hAnsi="Segoe UI Light" w:cs="Segoe UI Light"/>
        <w:b/>
        <w:sz w:val="20"/>
        <w:szCs w:val="20"/>
        <w:lang w:val="sq-AL"/>
      </w:rPr>
      <w:t>Estadística</w:t>
    </w:r>
    <w:r w:rsidRPr="00084A36">
      <w:rPr>
        <w:rFonts w:ascii="Segoe UI Light" w:hAnsi="Segoe UI Light" w:cs="Segoe UI Light"/>
        <w:b/>
        <w:sz w:val="14"/>
        <w:szCs w:val="14"/>
        <w:lang w:val="sq-AL"/>
      </w:rPr>
      <w:t xml:space="preserve">  </w:t>
    </w:r>
    <w:r w:rsidRPr="00084A36">
      <w:rPr>
        <w:rFonts w:ascii="Segoe UI Light" w:hAnsi="Segoe UI Light" w:cs="Segoe UI Light"/>
        <w:b/>
        <w:color w:val="FF0000"/>
        <w:sz w:val="14"/>
        <w:szCs w:val="14"/>
        <w:lang w:val="sq-AL"/>
      </w:rPr>
      <w:t xml:space="preserve">  </w:t>
    </w:r>
  </w:p>
  <w:p w14:paraId="7331319B" w14:textId="127A80DB" w:rsidR="00B71001" w:rsidRDefault="0054327E" w:rsidP="00EE783C">
    <w:pPr>
      <w:pBdr>
        <w:top w:val="single" w:sz="4" w:space="0" w:color="auto"/>
      </w:pBdr>
      <w:tabs>
        <w:tab w:val="center" w:pos="4252"/>
        <w:tab w:val="right" w:pos="9356"/>
      </w:tabs>
      <w:jc w:val="both"/>
    </w:pPr>
    <w:r>
      <w:rPr>
        <w:rFonts w:ascii="Segoe UI Light" w:hAnsi="Segoe UI Light" w:cs="Segoe UI Light"/>
        <w:b/>
        <w:sz w:val="20"/>
        <w:szCs w:val="20"/>
        <w:lang w:val="sq-AL"/>
      </w:rPr>
      <w:t>14</w:t>
    </w:r>
    <w:r w:rsidR="00B71001">
      <w:rPr>
        <w:rFonts w:ascii="Segoe UI Light" w:hAnsi="Segoe UI Light" w:cs="Segoe UI Light"/>
        <w:b/>
        <w:sz w:val="20"/>
        <w:szCs w:val="20"/>
        <w:lang w:val="sq-AL"/>
      </w:rPr>
      <w:t xml:space="preserve"> DE </w:t>
    </w:r>
    <w:r>
      <w:rPr>
        <w:rFonts w:ascii="Segoe UI Light" w:hAnsi="Segoe UI Light" w:cs="Segoe UI Light"/>
        <w:b/>
        <w:sz w:val="20"/>
        <w:szCs w:val="20"/>
        <w:lang w:val="sq-AL"/>
      </w:rPr>
      <w:t>SEPTIEMBRE</w:t>
    </w:r>
    <w:r w:rsidR="00B71001">
      <w:rPr>
        <w:rFonts w:ascii="Segoe UI Light" w:hAnsi="Segoe UI Light" w:cs="Segoe UI Light"/>
        <w:b/>
        <w:sz w:val="20"/>
        <w:szCs w:val="20"/>
        <w:lang w:val="sq-AL"/>
      </w:rPr>
      <w:t xml:space="preserve">, 2022                                                                       </w:t>
    </w:r>
    <w:r w:rsidR="00B71001">
      <w:rPr>
        <w:rFonts w:ascii="Segoe UI Light" w:hAnsi="Segoe UI Light" w:cs="Segoe UI Light"/>
        <w:b/>
        <w:sz w:val="20"/>
        <w:szCs w:val="20"/>
        <w:lang w:val="sq-AL"/>
      </w:rPr>
      <w:tab/>
      <w:t xml:space="preserve">         </w:t>
    </w:r>
    <w:r w:rsidR="00B71001" w:rsidRPr="005F1E9E">
      <w:rPr>
        <w:rFonts w:ascii="Segoe UI Light" w:hAnsi="Segoe UI Light" w:cs="Segoe UI Light"/>
        <w:b/>
        <w:sz w:val="20"/>
        <w:szCs w:val="20"/>
      </w:rPr>
      <w:t xml:space="preserve">Página </w:t>
    </w:r>
    <w:r w:rsidR="00B71001" w:rsidRPr="005F1E9E">
      <w:rPr>
        <w:rFonts w:ascii="Segoe UI Light" w:hAnsi="Segoe UI Light" w:cs="Segoe UI Light"/>
        <w:b/>
        <w:bCs/>
        <w:sz w:val="20"/>
        <w:szCs w:val="20"/>
        <w:lang w:val="sq-AL"/>
      </w:rPr>
      <w:fldChar w:fldCharType="begin"/>
    </w:r>
    <w:r w:rsidR="00B71001" w:rsidRPr="005F1E9E">
      <w:rPr>
        <w:rFonts w:ascii="Segoe UI Light" w:hAnsi="Segoe UI Light" w:cs="Segoe UI Light"/>
        <w:b/>
        <w:bCs/>
        <w:sz w:val="20"/>
        <w:szCs w:val="20"/>
        <w:lang w:val="sq-AL"/>
      </w:rPr>
      <w:instrText>PAGE  \* Arabic  \* MERGEFORMAT</w:instrText>
    </w:r>
    <w:r w:rsidR="00B71001" w:rsidRPr="005F1E9E">
      <w:rPr>
        <w:rFonts w:ascii="Segoe UI Light" w:hAnsi="Segoe UI Light" w:cs="Segoe UI Light"/>
        <w:b/>
        <w:bCs/>
        <w:sz w:val="20"/>
        <w:szCs w:val="20"/>
        <w:lang w:val="sq-AL"/>
      </w:rPr>
      <w:fldChar w:fldCharType="separate"/>
    </w:r>
    <w:r w:rsidR="006352F6">
      <w:rPr>
        <w:rFonts w:ascii="Segoe UI Light" w:hAnsi="Segoe UI Light" w:cs="Segoe UI Light"/>
        <w:b/>
        <w:bCs/>
        <w:noProof/>
        <w:sz w:val="20"/>
        <w:szCs w:val="20"/>
        <w:lang w:val="sq-AL"/>
      </w:rPr>
      <w:t>6</w:t>
    </w:r>
    <w:r w:rsidR="00B71001" w:rsidRPr="005F1E9E">
      <w:rPr>
        <w:rFonts w:ascii="Segoe UI Light" w:hAnsi="Segoe UI Light" w:cs="Segoe UI Light"/>
        <w:b/>
        <w:bCs/>
        <w:sz w:val="20"/>
        <w:szCs w:val="20"/>
        <w:lang w:val="sq-AL"/>
      </w:rPr>
      <w:fldChar w:fldCharType="end"/>
    </w:r>
    <w:r w:rsidR="00B71001" w:rsidRPr="005F1E9E">
      <w:rPr>
        <w:rFonts w:ascii="Segoe UI Light" w:hAnsi="Segoe UI Light" w:cs="Segoe UI Light"/>
        <w:b/>
        <w:sz w:val="20"/>
        <w:szCs w:val="20"/>
      </w:rPr>
      <w:t xml:space="preserve"> de </w:t>
    </w:r>
    <w:r w:rsidR="00B71001" w:rsidRPr="005F1E9E">
      <w:rPr>
        <w:rFonts w:ascii="Segoe UI Light" w:hAnsi="Segoe UI Light" w:cs="Segoe UI Light"/>
        <w:b/>
        <w:bCs/>
        <w:sz w:val="20"/>
        <w:szCs w:val="20"/>
        <w:lang w:val="sq-AL"/>
      </w:rPr>
      <w:fldChar w:fldCharType="begin"/>
    </w:r>
    <w:r w:rsidR="00B71001" w:rsidRPr="005F1E9E">
      <w:rPr>
        <w:rFonts w:ascii="Segoe UI Light" w:hAnsi="Segoe UI Light" w:cs="Segoe UI Light"/>
        <w:b/>
        <w:bCs/>
        <w:sz w:val="20"/>
        <w:szCs w:val="20"/>
        <w:lang w:val="sq-AL"/>
      </w:rPr>
      <w:instrText>NUMPAGES  \* Arabic  \* MERGEFORMAT</w:instrText>
    </w:r>
    <w:r w:rsidR="00B71001" w:rsidRPr="005F1E9E">
      <w:rPr>
        <w:rFonts w:ascii="Segoe UI Light" w:hAnsi="Segoe UI Light" w:cs="Segoe UI Light"/>
        <w:b/>
        <w:bCs/>
        <w:sz w:val="20"/>
        <w:szCs w:val="20"/>
        <w:lang w:val="sq-AL"/>
      </w:rPr>
      <w:fldChar w:fldCharType="separate"/>
    </w:r>
    <w:r w:rsidR="006352F6">
      <w:rPr>
        <w:rFonts w:ascii="Segoe UI Light" w:hAnsi="Segoe UI Light" w:cs="Segoe UI Light"/>
        <w:b/>
        <w:bCs/>
        <w:noProof/>
        <w:sz w:val="20"/>
        <w:szCs w:val="20"/>
        <w:lang w:val="sq-AL"/>
      </w:rPr>
      <w:t>16</w:t>
    </w:r>
    <w:r w:rsidR="00B71001" w:rsidRPr="005F1E9E">
      <w:rPr>
        <w:rFonts w:ascii="Segoe UI Light" w:hAnsi="Segoe UI Light" w:cs="Segoe UI Light"/>
        <w:b/>
        <w:bCs/>
        <w:sz w:val="20"/>
        <w:szCs w:val="20"/>
        <w:lang w:val="sq-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581"/>
    <w:multiLevelType w:val="hybridMultilevel"/>
    <w:tmpl w:val="72E88820"/>
    <w:lvl w:ilvl="0" w:tplc="CB3A055E">
      <w:start w:val="1"/>
      <w:numFmt w:val="upperRoman"/>
      <w:lvlText w:val="%1."/>
      <w:lvlJc w:val="righ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70861DA"/>
    <w:multiLevelType w:val="hybridMultilevel"/>
    <w:tmpl w:val="E9D89226"/>
    <w:lvl w:ilvl="0" w:tplc="CB3A055E">
      <w:start w:val="1"/>
      <w:numFmt w:val="upperRoman"/>
      <w:lvlText w:val="%1."/>
      <w:lvlJc w:val="righ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7B26086"/>
    <w:multiLevelType w:val="hybridMultilevel"/>
    <w:tmpl w:val="0B5AD4EE"/>
    <w:lvl w:ilvl="0" w:tplc="1C0A0019">
      <w:start w:val="1"/>
      <w:numFmt w:val="lowerLetter"/>
      <w:lvlText w:val="%1."/>
      <w:lvlJc w:val="left"/>
      <w:pPr>
        <w:ind w:left="2136" w:hanging="360"/>
      </w:pPr>
    </w:lvl>
    <w:lvl w:ilvl="1" w:tplc="1C0A0019" w:tentative="1">
      <w:start w:val="1"/>
      <w:numFmt w:val="lowerLetter"/>
      <w:lvlText w:val="%2."/>
      <w:lvlJc w:val="left"/>
      <w:pPr>
        <w:ind w:left="2856" w:hanging="360"/>
      </w:pPr>
    </w:lvl>
    <w:lvl w:ilvl="2" w:tplc="1C0A001B" w:tentative="1">
      <w:start w:val="1"/>
      <w:numFmt w:val="lowerRoman"/>
      <w:lvlText w:val="%3."/>
      <w:lvlJc w:val="right"/>
      <w:pPr>
        <w:ind w:left="3576" w:hanging="180"/>
      </w:pPr>
    </w:lvl>
    <w:lvl w:ilvl="3" w:tplc="1C0A000F" w:tentative="1">
      <w:start w:val="1"/>
      <w:numFmt w:val="decimal"/>
      <w:lvlText w:val="%4."/>
      <w:lvlJc w:val="left"/>
      <w:pPr>
        <w:ind w:left="4296" w:hanging="360"/>
      </w:pPr>
    </w:lvl>
    <w:lvl w:ilvl="4" w:tplc="1C0A0019" w:tentative="1">
      <w:start w:val="1"/>
      <w:numFmt w:val="lowerLetter"/>
      <w:lvlText w:val="%5."/>
      <w:lvlJc w:val="left"/>
      <w:pPr>
        <w:ind w:left="5016" w:hanging="360"/>
      </w:pPr>
    </w:lvl>
    <w:lvl w:ilvl="5" w:tplc="1C0A001B" w:tentative="1">
      <w:start w:val="1"/>
      <w:numFmt w:val="lowerRoman"/>
      <w:lvlText w:val="%6."/>
      <w:lvlJc w:val="right"/>
      <w:pPr>
        <w:ind w:left="5736" w:hanging="180"/>
      </w:pPr>
    </w:lvl>
    <w:lvl w:ilvl="6" w:tplc="1C0A000F" w:tentative="1">
      <w:start w:val="1"/>
      <w:numFmt w:val="decimal"/>
      <w:lvlText w:val="%7."/>
      <w:lvlJc w:val="left"/>
      <w:pPr>
        <w:ind w:left="6456" w:hanging="360"/>
      </w:pPr>
    </w:lvl>
    <w:lvl w:ilvl="7" w:tplc="1C0A0019" w:tentative="1">
      <w:start w:val="1"/>
      <w:numFmt w:val="lowerLetter"/>
      <w:lvlText w:val="%8."/>
      <w:lvlJc w:val="left"/>
      <w:pPr>
        <w:ind w:left="7176" w:hanging="360"/>
      </w:pPr>
    </w:lvl>
    <w:lvl w:ilvl="8" w:tplc="1C0A001B" w:tentative="1">
      <w:start w:val="1"/>
      <w:numFmt w:val="lowerRoman"/>
      <w:lvlText w:val="%9."/>
      <w:lvlJc w:val="right"/>
      <w:pPr>
        <w:ind w:left="7896" w:hanging="180"/>
      </w:pPr>
    </w:lvl>
  </w:abstractNum>
  <w:abstractNum w:abstractNumId="3" w15:restartNumberingAfterBreak="0">
    <w:nsid w:val="07BE259A"/>
    <w:multiLevelType w:val="hybridMultilevel"/>
    <w:tmpl w:val="BB7CF8B6"/>
    <w:lvl w:ilvl="0" w:tplc="9FE4965C">
      <w:start w:val="1"/>
      <w:numFmt w:val="lowerRoman"/>
      <w:lvlText w:val="%1)"/>
      <w:lvlJc w:val="left"/>
      <w:pPr>
        <w:ind w:left="1137" w:hanging="720"/>
      </w:pPr>
      <w:rPr>
        <w:rFonts w:hint="default"/>
      </w:r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 w15:restartNumberingAfterBreak="0">
    <w:nsid w:val="0973286D"/>
    <w:multiLevelType w:val="hybridMultilevel"/>
    <w:tmpl w:val="E23836E2"/>
    <w:lvl w:ilvl="0" w:tplc="EE7A7AF0">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0F47481B"/>
    <w:multiLevelType w:val="hybridMultilevel"/>
    <w:tmpl w:val="9E3E3328"/>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2F57167"/>
    <w:multiLevelType w:val="hybridMultilevel"/>
    <w:tmpl w:val="9F0867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15C73A34"/>
    <w:multiLevelType w:val="hybridMultilevel"/>
    <w:tmpl w:val="6D5A9100"/>
    <w:lvl w:ilvl="0" w:tplc="2112309C">
      <w:start w:val="1"/>
      <w:numFmt w:val="lowerRoman"/>
      <w:lvlText w:val="(%1)"/>
      <w:lvlJc w:val="left"/>
      <w:pPr>
        <w:ind w:left="2116" w:hanging="720"/>
      </w:pPr>
      <w:rPr>
        <w:rFonts w:ascii="Arial" w:hAnsi="Arial" w:cs="Arial" w:hint="default"/>
        <w:i w:val="0"/>
        <w:sz w:val="24"/>
        <w:szCs w:val="24"/>
      </w:rPr>
    </w:lvl>
    <w:lvl w:ilvl="1" w:tplc="1C0A0019" w:tentative="1">
      <w:start w:val="1"/>
      <w:numFmt w:val="lowerLetter"/>
      <w:lvlText w:val="%2."/>
      <w:lvlJc w:val="left"/>
      <w:pPr>
        <w:ind w:left="2476" w:hanging="360"/>
      </w:pPr>
    </w:lvl>
    <w:lvl w:ilvl="2" w:tplc="1C0A001B" w:tentative="1">
      <w:start w:val="1"/>
      <w:numFmt w:val="lowerRoman"/>
      <w:lvlText w:val="%3."/>
      <w:lvlJc w:val="right"/>
      <w:pPr>
        <w:ind w:left="3196" w:hanging="180"/>
      </w:pPr>
    </w:lvl>
    <w:lvl w:ilvl="3" w:tplc="1C0A000F" w:tentative="1">
      <w:start w:val="1"/>
      <w:numFmt w:val="decimal"/>
      <w:lvlText w:val="%4."/>
      <w:lvlJc w:val="left"/>
      <w:pPr>
        <w:ind w:left="3916" w:hanging="360"/>
      </w:pPr>
    </w:lvl>
    <w:lvl w:ilvl="4" w:tplc="1C0A0019" w:tentative="1">
      <w:start w:val="1"/>
      <w:numFmt w:val="lowerLetter"/>
      <w:lvlText w:val="%5."/>
      <w:lvlJc w:val="left"/>
      <w:pPr>
        <w:ind w:left="4636" w:hanging="360"/>
      </w:pPr>
    </w:lvl>
    <w:lvl w:ilvl="5" w:tplc="1C0A001B" w:tentative="1">
      <w:start w:val="1"/>
      <w:numFmt w:val="lowerRoman"/>
      <w:lvlText w:val="%6."/>
      <w:lvlJc w:val="right"/>
      <w:pPr>
        <w:ind w:left="5356" w:hanging="180"/>
      </w:pPr>
    </w:lvl>
    <w:lvl w:ilvl="6" w:tplc="1C0A000F" w:tentative="1">
      <w:start w:val="1"/>
      <w:numFmt w:val="decimal"/>
      <w:lvlText w:val="%7."/>
      <w:lvlJc w:val="left"/>
      <w:pPr>
        <w:ind w:left="6076" w:hanging="360"/>
      </w:pPr>
    </w:lvl>
    <w:lvl w:ilvl="7" w:tplc="1C0A0019" w:tentative="1">
      <w:start w:val="1"/>
      <w:numFmt w:val="lowerLetter"/>
      <w:lvlText w:val="%8."/>
      <w:lvlJc w:val="left"/>
      <w:pPr>
        <w:ind w:left="6796" w:hanging="360"/>
      </w:pPr>
    </w:lvl>
    <w:lvl w:ilvl="8" w:tplc="1C0A001B" w:tentative="1">
      <w:start w:val="1"/>
      <w:numFmt w:val="lowerRoman"/>
      <w:lvlText w:val="%9."/>
      <w:lvlJc w:val="right"/>
      <w:pPr>
        <w:ind w:left="7516" w:hanging="180"/>
      </w:pPr>
    </w:lvl>
  </w:abstractNum>
  <w:abstractNum w:abstractNumId="8" w15:restartNumberingAfterBreak="0">
    <w:nsid w:val="18286212"/>
    <w:multiLevelType w:val="hybridMultilevel"/>
    <w:tmpl w:val="0B5AD4EE"/>
    <w:lvl w:ilvl="0" w:tplc="1C0A0019">
      <w:start w:val="1"/>
      <w:numFmt w:val="lowerLetter"/>
      <w:lvlText w:val="%1."/>
      <w:lvlJc w:val="left"/>
      <w:pPr>
        <w:ind w:left="2136" w:hanging="360"/>
      </w:pPr>
    </w:lvl>
    <w:lvl w:ilvl="1" w:tplc="1C0A0019" w:tentative="1">
      <w:start w:val="1"/>
      <w:numFmt w:val="lowerLetter"/>
      <w:lvlText w:val="%2."/>
      <w:lvlJc w:val="left"/>
      <w:pPr>
        <w:ind w:left="2856" w:hanging="360"/>
      </w:pPr>
    </w:lvl>
    <w:lvl w:ilvl="2" w:tplc="1C0A001B" w:tentative="1">
      <w:start w:val="1"/>
      <w:numFmt w:val="lowerRoman"/>
      <w:lvlText w:val="%3."/>
      <w:lvlJc w:val="right"/>
      <w:pPr>
        <w:ind w:left="3576" w:hanging="180"/>
      </w:pPr>
    </w:lvl>
    <w:lvl w:ilvl="3" w:tplc="1C0A000F" w:tentative="1">
      <w:start w:val="1"/>
      <w:numFmt w:val="decimal"/>
      <w:lvlText w:val="%4."/>
      <w:lvlJc w:val="left"/>
      <w:pPr>
        <w:ind w:left="4296" w:hanging="360"/>
      </w:pPr>
    </w:lvl>
    <w:lvl w:ilvl="4" w:tplc="1C0A0019" w:tentative="1">
      <w:start w:val="1"/>
      <w:numFmt w:val="lowerLetter"/>
      <w:lvlText w:val="%5."/>
      <w:lvlJc w:val="left"/>
      <w:pPr>
        <w:ind w:left="5016" w:hanging="360"/>
      </w:pPr>
    </w:lvl>
    <w:lvl w:ilvl="5" w:tplc="1C0A001B" w:tentative="1">
      <w:start w:val="1"/>
      <w:numFmt w:val="lowerRoman"/>
      <w:lvlText w:val="%6."/>
      <w:lvlJc w:val="right"/>
      <w:pPr>
        <w:ind w:left="5736" w:hanging="180"/>
      </w:pPr>
    </w:lvl>
    <w:lvl w:ilvl="6" w:tplc="1C0A000F" w:tentative="1">
      <w:start w:val="1"/>
      <w:numFmt w:val="decimal"/>
      <w:lvlText w:val="%7."/>
      <w:lvlJc w:val="left"/>
      <w:pPr>
        <w:ind w:left="6456" w:hanging="360"/>
      </w:pPr>
    </w:lvl>
    <w:lvl w:ilvl="7" w:tplc="1C0A0019" w:tentative="1">
      <w:start w:val="1"/>
      <w:numFmt w:val="lowerLetter"/>
      <w:lvlText w:val="%8."/>
      <w:lvlJc w:val="left"/>
      <w:pPr>
        <w:ind w:left="7176" w:hanging="360"/>
      </w:pPr>
    </w:lvl>
    <w:lvl w:ilvl="8" w:tplc="1C0A001B" w:tentative="1">
      <w:start w:val="1"/>
      <w:numFmt w:val="lowerRoman"/>
      <w:lvlText w:val="%9."/>
      <w:lvlJc w:val="right"/>
      <w:pPr>
        <w:ind w:left="7896" w:hanging="180"/>
      </w:pPr>
    </w:lvl>
  </w:abstractNum>
  <w:abstractNum w:abstractNumId="9" w15:restartNumberingAfterBreak="0">
    <w:nsid w:val="1C201B43"/>
    <w:multiLevelType w:val="hybridMultilevel"/>
    <w:tmpl w:val="BB7CF8B6"/>
    <w:lvl w:ilvl="0" w:tplc="9FE4965C">
      <w:start w:val="1"/>
      <w:numFmt w:val="lowerRoman"/>
      <w:lvlText w:val="%1)"/>
      <w:lvlJc w:val="left"/>
      <w:pPr>
        <w:ind w:left="1137" w:hanging="720"/>
      </w:pPr>
      <w:rPr>
        <w:rFonts w:hint="default"/>
      </w:r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0" w15:restartNumberingAfterBreak="0">
    <w:nsid w:val="1D046C05"/>
    <w:multiLevelType w:val="hybridMultilevel"/>
    <w:tmpl w:val="E4C4C6B0"/>
    <w:lvl w:ilvl="0" w:tplc="1C0A0011">
      <w:start w:val="1"/>
      <w:numFmt w:val="decimal"/>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1" w15:restartNumberingAfterBreak="0">
    <w:nsid w:val="38263FFD"/>
    <w:multiLevelType w:val="hybridMultilevel"/>
    <w:tmpl w:val="BCF20F06"/>
    <w:lvl w:ilvl="0" w:tplc="1C0A0019">
      <w:start w:val="1"/>
      <w:numFmt w:val="lowerLetter"/>
      <w:lvlText w:val="%1."/>
      <w:lvlJc w:val="left"/>
      <w:pPr>
        <w:ind w:left="2136" w:hanging="360"/>
      </w:pPr>
    </w:lvl>
    <w:lvl w:ilvl="1" w:tplc="1C0A0019" w:tentative="1">
      <w:start w:val="1"/>
      <w:numFmt w:val="lowerLetter"/>
      <w:lvlText w:val="%2."/>
      <w:lvlJc w:val="left"/>
      <w:pPr>
        <w:ind w:left="2856" w:hanging="360"/>
      </w:pPr>
    </w:lvl>
    <w:lvl w:ilvl="2" w:tplc="1C0A001B" w:tentative="1">
      <w:start w:val="1"/>
      <w:numFmt w:val="lowerRoman"/>
      <w:lvlText w:val="%3."/>
      <w:lvlJc w:val="right"/>
      <w:pPr>
        <w:ind w:left="3576" w:hanging="180"/>
      </w:pPr>
    </w:lvl>
    <w:lvl w:ilvl="3" w:tplc="1C0A000F" w:tentative="1">
      <w:start w:val="1"/>
      <w:numFmt w:val="decimal"/>
      <w:lvlText w:val="%4."/>
      <w:lvlJc w:val="left"/>
      <w:pPr>
        <w:ind w:left="4296" w:hanging="360"/>
      </w:pPr>
    </w:lvl>
    <w:lvl w:ilvl="4" w:tplc="1C0A0019" w:tentative="1">
      <w:start w:val="1"/>
      <w:numFmt w:val="lowerLetter"/>
      <w:lvlText w:val="%5."/>
      <w:lvlJc w:val="left"/>
      <w:pPr>
        <w:ind w:left="5016" w:hanging="360"/>
      </w:pPr>
    </w:lvl>
    <w:lvl w:ilvl="5" w:tplc="1C0A001B" w:tentative="1">
      <w:start w:val="1"/>
      <w:numFmt w:val="lowerRoman"/>
      <w:lvlText w:val="%6."/>
      <w:lvlJc w:val="right"/>
      <w:pPr>
        <w:ind w:left="5736" w:hanging="180"/>
      </w:pPr>
    </w:lvl>
    <w:lvl w:ilvl="6" w:tplc="1C0A000F" w:tentative="1">
      <w:start w:val="1"/>
      <w:numFmt w:val="decimal"/>
      <w:lvlText w:val="%7."/>
      <w:lvlJc w:val="left"/>
      <w:pPr>
        <w:ind w:left="6456" w:hanging="360"/>
      </w:pPr>
    </w:lvl>
    <w:lvl w:ilvl="7" w:tplc="1C0A0019" w:tentative="1">
      <w:start w:val="1"/>
      <w:numFmt w:val="lowerLetter"/>
      <w:lvlText w:val="%8."/>
      <w:lvlJc w:val="left"/>
      <w:pPr>
        <w:ind w:left="7176" w:hanging="360"/>
      </w:pPr>
    </w:lvl>
    <w:lvl w:ilvl="8" w:tplc="1C0A001B" w:tentative="1">
      <w:start w:val="1"/>
      <w:numFmt w:val="lowerRoman"/>
      <w:lvlText w:val="%9."/>
      <w:lvlJc w:val="right"/>
      <w:pPr>
        <w:ind w:left="7896" w:hanging="180"/>
      </w:pPr>
    </w:lvl>
  </w:abstractNum>
  <w:abstractNum w:abstractNumId="12" w15:restartNumberingAfterBreak="0">
    <w:nsid w:val="39472024"/>
    <w:multiLevelType w:val="hybridMultilevel"/>
    <w:tmpl w:val="979494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39F8298E"/>
    <w:multiLevelType w:val="hybridMultilevel"/>
    <w:tmpl w:val="98A21894"/>
    <w:lvl w:ilvl="0" w:tplc="85A8EF2C">
      <w:start w:val="1"/>
      <w:numFmt w:val="decimal"/>
      <w:lvlText w:val="%1)"/>
      <w:lvlJc w:val="left"/>
      <w:pPr>
        <w:ind w:left="360" w:hanging="360"/>
      </w:pPr>
      <w:rPr>
        <w:rFonts w:ascii="Arial" w:hAnsi="Arial" w:cs="Arial"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B05718A"/>
    <w:multiLevelType w:val="hybridMultilevel"/>
    <w:tmpl w:val="484600D0"/>
    <w:lvl w:ilvl="0" w:tplc="90A81BD0">
      <w:numFmt w:val="bullet"/>
      <w:lvlText w:val="-"/>
      <w:lvlJc w:val="left"/>
      <w:pPr>
        <w:ind w:left="720" w:hanging="360"/>
      </w:pPr>
      <w:rPr>
        <w:rFonts w:ascii="Trebuchet MS" w:eastAsiaTheme="minorEastAsia" w:hAnsi="Trebuchet MS"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45A51CE4"/>
    <w:multiLevelType w:val="hybridMultilevel"/>
    <w:tmpl w:val="72E88820"/>
    <w:lvl w:ilvl="0" w:tplc="CB3A055E">
      <w:start w:val="1"/>
      <w:numFmt w:val="upperRoman"/>
      <w:lvlText w:val="%1."/>
      <w:lvlJc w:val="righ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4939619F"/>
    <w:multiLevelType w:val="hybridMultilevel"/>
    <w:tmpl w:val="39A07C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B5D7908"/>
    <w:multiLevelType w:val="hybridMultilevel"/>
    <w:tmpl w:val="0B5AD4EE"/>
    <w:lvl w:ilvl="0" w:tplc="1C0A0019">
      <w:start w:val="1"/>
      <w:numFmt w:val="lowerLetter"/>
      <w:lvlText w:val="%1."/>
      <w:lvlJc w:val="left"/>
      <w:pPr>
        <w:ind w:left="2136" w:hanging="360"/>
      </w:pPr>
    </w:lvl>
    <w:lvl w:ilvl="1" w:tplc="1C0A0019" w:tentative="1">
      <w:start w:val="1"/>
      <w:numFmt w:val="lowerLetter"/>
      <w:lvlText w:val="%2."/>
      <w:lvlJc w:val="left"/>
      <w:pPr>
        <w:ind w:left="2856" w:hanging="360"/>
      </w:pPr>
    </w:lvl>
    <w:lvl w:ilvl="2" w:tplc="1C0A001B" w:tentative="1">
      <w:start w:val="1"/>
      <w:numFmt w:val="lowerRoman"/>
      <w:lvlText w:val="%3."/>
      <w:lvlJc w:val="right"/>
      <w:pPr>
        <w:ind w:left="3576" w:hanging="180"/>
      </w:pPr>
    </w:lvl>
    <w:lvl w:ilvl="3" w:tplc="1C0A000F" w:tentative="1">
      <w:start w:val="1"/>
      <w:numFmt w:val="decimal"/>
      <w:lvlText w:val="%4."/>
      <w:lvlJc w:val="left"/>
      <w:pPr>
        <w:ind w:left="4296" w:hanging="360"/>
      </w:pPr>
    </w:lvl>
    <w:lvl w:ilvl="4" w:tplc="1C0A0019" w:tentative="1">
      <w:start w:val="1"/>
      <w:numFmt w:val="lowerLetter"/>
      <w:lvlText w:val="%5."/>
      <w:lvlJc w:val="left"/>
      <w:pPr>
        <w:ind w:left="5016" w:hanging="360"/>
      </w:pPr>
    </w:lvl>
    <w:lvl w:ilvl="5" w:tplc="1C0A001B" w:tentative="1">
      <w:start w:val="1"/>
      <w:numFmt w:val="lowerRoman"/>
      <w:lvlText w:val="%6."/>
      <w:lvlJc w:val="right"/>
      <w:pPr>
        <w:ind w:left="5736" w:hanging="180"/>
      </w:pPr>
    </w:lvl>
    <w:lvl w:ilvl="6" w:tplc="1C0A000F" w:tentative="1">
      <w:start w:val="1"/>
      <w:numFmt w:val="decimal"/>
      <w:lvlText w:val="%7."/>
      <w:lvlJc w:val="left"/>
      <w:pPr>
        <w:ind w:left="6456" w:hanging="360"/>
      </w:pPr>
    </w:lvl>
    <w:lvl w:ilvl="7" w:tplc="1C0A0019" w:tentative="1">
      <w:start w:val="1"/>
      <w:numFmt w:val="lowerLetter"/>
      <w:lvlText w:val="%8."/>
      <w:lvlJc w:val="left"/>
      <w:pPr>
        <w:ind w:left="7176" w:hanging="360"/>
      </w:pPr>
    </w:lvl>
    <w:lvl w:ilvl="8" w:tplc="1C0A001B" w:tentative="1">
      <w:start w:val="1"/>
      <w:numFmt w:val="lowerRoman"/>
      <w:lvlText w:val="%9."/>
      <w:lvlJc w:val="right"/>
      <w:pPr>
        <w:ind w:left="7896" w:hanging="180"/>
      </w:pPr>
    </w:lvl>
  </w:abstractNum>
  <w:abstractNum w:abstractNumId="18" w15:restartNumberingAfterBreak="0">
    <w:nsid w:val="4C627DD2"/>
    <w:multiLevelType w:val="hybridMultilevel"/>
    <w:tmpl w:val="59325340"/>
    <w:lvl w:ilvl="0" w:tplc="293E8BC8">
      <w:start w:val="1"/>
      <w:numFmt w:val="decimal"/>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4F471306"/>
    <w:multiLevelType w:val="hybridMultilevel"/>
    <w:tmpl w:val="72E88820"/>
    <w:lvl w:ilvl="0" w:tplc="CB3A055E">
      <w:start w:val="1"/>
      <w:numFmt w:val="upperRoman"/>
      <w:lvlText w:val="%1."/>
      <w:lvlJc w:val="right"/>
      <w:pPr>
        <w:ind w:left="1068" w:hanging="360"/>
      </w:pPr>
      <w:rPr>
        <w:b/>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0" w15:restartNumberingAfterBreak="0">
    <w:nsid w:val="4FEF3B1D"/>
    <w:multiLevelType w:val="hybridMultilevel"/>
    <w:tmpl w:val="C0061684"/>
    <w:lvl w:ilvl="0" w:tplc="1C0A0013">
      <w:start w:val="1"/>
      <w:numFmt w:val="upp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512B1F35"/>
    <w:multiLevelType w:val="hybridMultilevel"/>
    <w:tmpl w:val="9F0867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537A26C3"/>
    <w:multiLevelType w:val="hybridMultilevel"/>
    <w:tmpl w:val="CE063A5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55EF06B8"/>
    <w:multiLevelType w:val="hybridMultilevel"/>
    <w:tmpl w:val="BBE261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5AFB0ED8"/>
    <w:multiLevelType w:val="hybridMultilevel"/>
    <w:tmpl w:val="BB7CF8B6"/>
    <w:lvl w:ilvl="0" w:tplc="9FE4965C">
      <w:start w:val="1"/>
      <w:numFmt w:val="lowerRoman"/>
      <w:lvlText w:val="%1)"/>
      <w:lvlJc w:val="left"/>
      <w:pPr>
        <w:ind w:left="1137" w:hanging="72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5" w15:restartNumberingAfterBreak="0">
    <w:nsid w:val="5F7B2FDC"/>
    <w:multiLevelType w:val="hybridMultilevel"/>
    <w:tmpl w:val="ADA2A3D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73362017"/>
    <w:multiLevelType w:val="hybridMultilevel"/>
    <w:tmpl w:val="84CAD196"/>
    <w:lvl w:ilvl="0" w:tplc="1AE08D94">
      <w:start w:val="1"/>
      <w:numFmt w:val="bullet"/>
      <w:lvlText w:val="•"/>
      <w:lvlJc w:val="left"/>
      <w:pPr>
        <w:tabs>
          <w:tab w:val="num" w:pos="720"/>
        </w:tabs>
        <w:ind w:left="720" w:hanging="360"/>
      </w:pPr>
      <w:rPr>
        <w:rFonts w:ascii="Arial" w:hAnsi="Arial" w:hint="default"/>
      </w:rPr>
    </w:lvl>
    <w:lvl w:ilvl="1" w:tplc="090A0B38" w:tentative="1">
      <w:start w:val="1"/>
      <w:numFmt w:val="bullet"/>
      <w:lvlText w:val="•"/>
      <w:lvlJc w:val="left"/>
      <w:pPr>
        <w:tabs>
          <w:tab w:val="num" w:pos="1440"/>
        </w:tabs>
        <w:ind w:left="1440" w:hanging="360"/>
      </w:pPr>
      <w:rPr>
        <w:rFonts w:ascii="Arial" w:hAnsi="Arial" w:hint="default"/>
      </w:rPr>
    </w:lvl>
    <w:lvl w:ilvl="2" w:tplc="C84ECE62" w:tentative="1">
      <w:start w:val="1"/>
      <w:numFmt w:val="bullet"/>
      <w:lvlText w:val="•"/>
      <w:lvlJc w:val="left"/>
      <w:pPr>
        <w:tabs>
          <w:tab w:val="num" w:pos="2160"/>
        </w:tabs>
        <w:ind w:left="2160" w:hanging="360"/>
      </w:pPr>
      <w:rPr>
        <w:rFonts w:ascii="Arial" w:hAnsi="Arial" w:hint="default"/>
      </w:rPr>
    </w:lvl>
    <w:lvl w:ilvl="3" w:tplc="0116115E" w:tentative="1">
      <w:start w:val="1"/>
      <w:numFmt w:val="bullet"/>
      <w:lvlText w:val="•"/>
      <w:lvlJc w:val="left"/>
      <w:pPr>
        <w:tabs>
          <w:tab w:val="num" w:pos="2880"/>
        </w:tabs>
        <w:ind w:left="2880" w:hanging="360"/>
      </w:pPr>
      <w:rPr>
        <w:rFonts w:ascii="Arial" w:hAnsi="Arial" w:hint="default"/>
      </w:rPr>
    </w:lvl>
    <w:lvl w:ilvl="4" w:tplc="BFA2230E" w:tentative="1">
      <w:start w:val="1"/>
      <w:numFmt w:val="bullet"/>
      <w:lvlText w:val="•"/>
      <w:lvlJc w:val="left"/>
      <w:pPr>
        <w:tabs>
          <w:tab w:val="num" w:pos="3600"/>
        </w:tabs>
        <w:ind w:left="3600" w:hanging="360"/>
      </w:pPr>
      <w:rPr>
        <w:rFonts w:ascii="Arial" w:hAnsi="Arial" w:hint="default"/>
      </w:rPr>
    </w:lvl>
    <w:lvl w:ilvl="5" w:tplc="255E0BE2" w:tentative="1">
      <w:start w:val="1"/>
      <w:numFmt w:val="bullet"/>
      <w:lvlText w:val="•"/>
      <w:lvlJc w:val="left"/>
      <w:pPr>
        <w:tabs>
          <w:tab w:val="num" w:pos="4320"/>
        </w:tabs>
        <w:ind w:left="4320" w:hanging="360"/>
      </w:pPr>
      <w:rPr>
        <w:rFonts w:ascii="Arial" w:hAnsi="Arial" w:hint="default"/>
      </w:rPr>
    </w:lvl>
    <w:lvl w:ilvl="6" w:tplc="3B384856" w:tentative="1">
      <w:start w:val="1"/>
      <w:numFmt w:val="bullet"/>
      <w:lvlText w:val="•"/>
      <w:lvlJc w:val="left"/>
      <w:pPr>
        <w:tabs>
          <w:tab w:val="num" w:pos="5040"/>
        </w:tabs>
        <w:ind w:left="5040" w:hanging="360"/>
      </w:pPr>
      <w:rPr>
        <w:rFonts w:ascii="Arial" w:hAnsi="Arial" w:hint="default"/>
      </w:rPr>
    </w:lvl>
    <w:lvl w:ilvl="7" w:tplc="69A07750" w:tentative="1">
      <w:start w:val="1"/>
      <w:numFmt w:val="bullet"/>
      <w:lvlText w:val="•"/>
      <w:lvlJc w:val="left"/>
      <w:pPr>
        <w:tabs>
          <w:tab w:val="num" w:pos="5760"/>
        </w:tabs>
        <w:ind w:left="5760" w:hanging="360"/>
      </w:pPr>
      <w:rPr>
        <w:rFonts w:ascii="Arial" w:hAnsi="Arial" w:hint="default"/>
      </w:rPr>
    </w:lvl>
    <w:lvl w:ilvl="8" w:tplc="CD389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C1F1445"/>
    <w:multiLevelType w:val="hybridMultilevel"/>
    <w:tmpl w:val="5F1AF45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413551107">
    <w:abstractNumId w:val="1"/>
  </w:num>
  <w:num w:numId="2" w16cid:durableId="1018852611">
    <w:abstractNumId w:val="23"/>
  </w:num>
  <w:num w:numId="3" w16cid:durableId="2138067660">
    <w:abstractNumId w:val="20"/>
  </w:num>
  <w:num w:numId="4" w16cid:durableId="2069914968">
    <w:abstractNumId w:val="14"/>
  </w:num>
  <w:num w:numId="5" w16cid:durableId="1612929497">
    <w:abstractNumId w:val="25"/>
  </w:num>
  <w:num w:numId="6" w16cid:durableId="1714185478">
    <w:abstractNumId w:val="9"/>
  </w:num>
  <w:num w:numId="7" w16cid:durableId="38432425">
    <w:abstractNumId w:val="27"/>
  </w:num>
  <w:num w:numId="8" w16cid:durableId="670985892">
    <w:abstractNumId w:val="4"/>
  </w:num>
  <w:num w:numId="9" w16cid:durableId="1901206719">
    <w:abstractNumId w:val="10"/>
  </w:num>
  <w:num w:numId="10" w16cid:durableId="1597210353">
    <w:abstractNumId w:val="18"/>
  </w:num>
  <w:num w:numId="11" w16cid:durableId="777945070">
    <w:abstractNumId w:val="24"/>
  </w:num>
  <w:num w:numId="12" w16cid:durableId="1374158939">
    <w:abstractNumId w:val="16"/>
  </w:num>
  <w:num w:numId="13" w16cid:durableId="1663704401">
    <w:abstractNumId w:val="3"/>
  </w:num>
  <w:num w:numId="14" w16cid:durableId="1999337146">
    <w:abstractNumId w:val="0"/>
  </w:num>
  <w:num w:numId="15" w16cid:durableId="1246956241">
    <w:abstractNumId w:val="13"/>
  </w:num>
  <w:num w:numId="16" w16cid:durableId="119345312">
    <w:abstractNumId w:val="7"/>
  </w:num>
  <w:num w:numId="17" w16cid:durableId="1527870178">
    <w:abstractNumId w:val="12"/>
  </w:num>
  <w:num w:numId="18" w16cid:durableId="1373263609">
    <w:abstractNumId w:val="26"/>
  </w:num>
  <w:num w:numId="19" w16cid:durableId="1793016011">
    <w:abstractNumId w:val="5"/>
  </w:num>
  <w:num w:numId="20" w16cid:durableId="886599091">
    <w:abstractNumId w:val="19"/>
  </w:num>
  <w:num w:numId="21" w16cid:durableId="713775830">
    <w:abstractNumId w:val="8"/>
  </w:num>
  <w:num w:numId="22" w16cid:durableId="685668509">
    <w:abstractNumId w:val="11"/>
  </w:num>
  <w:num w:numId="23" w16cid:durableId="1621107949">
    <w:abstractNumId w:val="22"/>
  </w:num>
  <w:num w:numId="24" w16cid:durableId="1796824786">
    <w:abstractNumId w:val="2"/>
  </w:num>
  <w:num w:numId="25" w16cid:durableId="479806088">
    <w:abstractNumId w:val="17"/>
  </w:num>
  <w:num w:numId="26" w16cid:durableId="721367658">
    <w:abstractNumId w:val="15"/>
  </w:num>
  <w:num w:numId="27" w16cid:durableId="1651901372">
    <w:abstractNumId w:val="6"/>
  </w:num>
  <w:num w:numId="28" w16cid:durableId="179470936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6E"/>
    <w:rsid w:val="00001D1B"/>
    <w:rsid w:val="00004E90"/>
    <w:rsid w:val="0000582C"/>
    <w:rsid w:val="000200F0"/>
    <w:rsid w:val="000205D8"/>
    <w:rsid w:val="00021DBA"/>
    <w:rsid w:val="00024082"/>
    <w:rsid w:val="00024D94"/>
    <w:rsid w:val="00025A87"/>
    <w:rsid w:val="00030283"/>
    <w:rsid w:val="00030F26"/>
    <w:rsid w:val="000318CB"/>
    <w:rsid w:val="00032A9D"/>
    <w:rsid w:val="00035036"/>
    <w:rsid w:val="0003554B"/>
    <w:rsid w:val="00045045"/>
    <w:rsid w:val="0005402B"/>
    <w:rsid w:val="000603EA"/>
    <w:rsid w:val="000655B7"/>
    <w:rsid w:val="00065959"/>
    <w:rsid w:val="00067F03"/>
    <w:rsid w:val="0007303B"/>
    <w:rsid w:val="000740B1"/>
    <w:rsid w:val="000757B5"/>
    <w:rsid w:val="00075E5D"/>
    <w:rsid w:val="000762FA"/>
    <w:rsid w:val="00077DC1"/>
    <w:rsid w:val="000810EC"/>
    <w:rsid w:val="0008358B"/>
    <w:rsid w:val="0008363B"/>
    <w:rsid w:val="00083A86"/>
    <w:rsid w:val="00084A36"/>
    <w:rsid w:val="00087CC5"/>
    <w:rsid w:val="00093842"/>
    <w:rsid w:val="0009614C"/>
    <w:rsid w:val="00097478"/>
    <w:rsid w:val="000B6FDA"/>
    <w:rsid w:val="000C521B"/>
    <w:rsid w:val="000C56DB"/>
    <w:rsid w:val="000C6FA2"/>
    <w:rsid w:val="000D08E7"/>
    <w:rsid w:val="000D3C3C"/>
    <w:rsid w:val="000E14E7"/>
    <w:rsid w:val="000E5D64"/>
    <w:rsid w:val="000E6492"/>
    <w:rsid w:val="000E6B48"/>
    <w:rsid w:val="000F0072"/>
    <w:rsid w:val="000F2440"/>
    <w:rsid w:val="000F55F3"/>
    <w:rsid w:val="000F7682"/>
    <w:rsid w:val="000F7A02"/>
    <w:rsid w:val="00101641"/>
    <w:rsid w:val="00102226"/>
    <w:rsid w:val="00105564"/>
    <w:rsid w:val="0011139E"/>
    <w:rsid w:val="00114684"/>
    <w:rsid w:val="0012272A"/>
    <w:rsid w:val="00123576"/>
    <w:rsid w:val="00123883"/>
    <w:rsid w:val="00123956"/>
    <w:rsid w:val="00130606"/>
    <w:rsid w:val="00135731"/>
    <w:rsid w:val="001369DA"/>
    <w:rsid w:val="00137F35"/>
    <w:rsid w:val="001445E0"/>
    <w:rsid w:val="0014678F"/>
    <w:rsid w:val="00151F85"/>
    <w:rsid w:val="00153466"/>
    <w:rsid w:val="001539CE"/>
    <w:rsid w:val="0015402C"/>
    <w:rsid w:val="0015642F"/>
    <w:rsid w:val="001621D7"/>
    <w:rsid w:val="00162EB6"/>
    <w:rsid w:val="00163AB1"/>
    <w:rsid w:val="0017178B"/>
    <w:rsid w:val="00172ED7"/>
    <w:rsid w:val="001810A6"/>
    <w:rsid w:val="00183191"/>
    <w:rsid w:val="0018530F"/>
    <w:rsid w:val="0018654D"/>
    <w:rsid w:val="00187D74"/>
    <w:rsid w:val="00193499"/>
    <w:rsid w:val="00194ABD"/>
    <w:rsid w:val="00197C09"/>
    <w:rsid w:val="001A21CA"/>
    <w:rsid w:val="001A32B0"/>
    <w:rsid w:val="001B315D"/>
    <w:rsid w:val="001B4488"/>
    <w:rsid w:val="001B5733"/>
    <w:rsid w:val="001B6962"/>
    <w:rsid w:val="001B6FD3"/>
    <w:rsid w:val="001C03AC"/>
    <w:rsid w:val="001C1E8F"/>
    <w:rsid w:val="001C50C1"/>
    <w:rsid w:val="001C5499"/>
    <w:rsid w:val="001C662C"/>
    <w:rsid w:val="001C735F"/>
    <w:rsid w:val="001D384A"/>
    <w:rsid w:val="001D3BDF"/>
    <w:rsid w:val="001D4F69"/>
    <w:rsid w:val="001D5CE7"/>
    <w:rsid w:val="001D683A"/>
    <w:rsid w:val="001D706E"/>
    <w:rsid w:val="001E2B24"/>
    <w:rsid w:val="001E4003"/>
    <w:rsid w:val="001E64C1"/>
    <w:rsid w:val="001E6585"/>
    <w:rsid w:val="001E7000"/>
    <w:rsid w:val="001F42B0"/>
    <w:rsid w:val="001F6258"/>
    <w:rsid w:val="00200DFA"/>
    <w:rsid w:val="0020302C"/>
    <w:rsid w:val="00206FE8"/>
    <w:rsid w:val="00220DAC"/>
    <w:rsid w:val="00224A64"/>
    <w:rsid w:val="002265FF"/>
    <w:rsid w:val="00231676"/>
    <w:rsid w:val="002337A5"/>
    <w:rsid w:val="00233F88"/>
    <w:rsid w:val="002349D2"/>
    <w:rsid w:val="00235350"/>
    <w:rsid w:val="00236057"/>
    <w:rsid w:val="0024182B"/>
    <w:rsid w:val="00241A37"/>
    <w:rsid w:val="002425F7"/>
    <w:rsid w:val="00243A1F"/>
    <w:rsid w:val="002441B2"/>
    <w:rsid w:val="00246724"/>
    <w:rsid w:val="002468C9"/>
    <w:rsid w:val="002469B5"/>
    <w:rsid w:val="0025167C"/>
    <w:rsid w:val="002520A7"/>
    <w:rsid w:val="00253283"/>
    <w:rsid w:val="002536EB"/>
    <w:rsid w:val="002537AE"/>
    <w:rsid w:val="00254132"/>
    <w:rsid w:val="00256BF7"/>
    <w:rsid w:val="002571C7"/>
    <w:rsid w:val="002605D0"/>
    <w:rsid w:val="00264FBE"/>
    <w:rsid w:val="00266FEE"/>
    <w:rsid w:val="002704FF"/>
    <w:rsid w:val="0027160B"/>
    <w:rsid w:val="002872E0"/>
    <w:rsid w:val="00293627"/>
    <w:rsid w:val="00294A49"/>
    <w:rsid w:val="002B084E"/>
    <w:rsid w:val="002C2DFE"/>
    <w:rsid w:val="002C759B"/>
    <w:rsid w:val="002D0717"/>
    <w:rsid w:val="002D08DB"/>
    <w:rsid w:val="002D0FE2"/>
    <w:rsid w:val="002D22D2"/>
    <w:rsid w:val="002D2720"/>
    <w:rsid w:val="002D5D74"/>
    <w:rsid w:val="002E0D0D"/>
    <w:rsid w:val="002E22C1"/>
    <w:rsid w:val="002E3ACB"/>
    <w:rsid w:val="002E3E6A"/>
    <w:rsid w:val="002E4537"/>
    <w:rsid w:val="002E6922"/>
    <w:rsid w:val="002F187E"/>
    <w:rsid w:val="002F2E04"/>
    <w:rsid w:val="002F4446"/>
    <w:rsid w:val="002F56CC"/>
    <w:rsid w:val="002F711E"/>
    <w:rsid w:val="002F7328"/>
    <w:rsid w:val="00302838"/>
    <w:rsid w:val="0030371B"/>
    <w:rsid w:val="003053B5"/>
    <w:rsid w:val="00310E80"/>
    <w:rsid w:val="003137BB"/>
    <w:rsid w:val="00321405"/>
    <w:rsid w:val="003215FD"/>
    <w:rsid w:val="00322658"/>
    <w:rsid w:val="00324606"/>
    <w:rsid w:val="003276E4"/>
    <w:rsid w:val="00331111"/>
    <w:rsid w:val="00332059"/>
    <w:rsid w:val="003320A3"/>
    <w:rsid w:val="003374EB"/>
    <w:rsid w:val="00337FF8"/>
    <w:rsid w:val="00340607"/>
    <w:rsid w:val="00341ACB"/>
    <w:rsid w:val="00341B87"/>
    <w:rsid w:val="00345599"/>
    <w:rsid w:val="00346720"/>
    <w:rsid w:val="003533F2"/>
    <w:rsid w:val="00353B4B"/>
    <w:rsid w:val="0035720F"/>
    <w:rsid w:val="0035754A"/>
    <w:rsid w:val="003617CF"/>
    <w:rsid w:val="00362D26"/>
    <w:rsid w:val="00365903"/>
    <w:rsid w:val="00374904"/>
    <w:rsid w:val="00375DAC"/>
    <w:rsid w:val="00380F66"/>
    <w:rsid w:val="003830A5"/>
    <w:rsid w:val="003833B3"/>
    <w:rsid w:val="0038483D"/>
    <w:rsid w:val="00384A7E"/>
    <w:rsid w:val="00384D18"/>
    <w:rsid w:val="00384E58"/>
    <w:rsid w:val="003855B0"/>
    <w:rsid w:val="00386AB0"/>
    <w:rsid w:val="00390A16"/>
    <w:rsid w:val="00396878"/>
    <w:rsid w:val="003A6B3D"/>
    <w:rsid w:val="003A7203"/>
    <w:rsid w:val="003B1B9D"/>
    <w:rsid w:val="003B25A6"/>
    <w:rsid w:val="003B3280"/>
    <w:rsid w:val="003B3DDE"/>
    <w:rsid w:val="003B3FBF"/>
    <w:rsid w:val="003B4B0A"/>
    <w:rsid w:val="003C2BFA"/>
    <w:rsid w:val="003C2F75"/>
    <w:rsid w:val="003C31B8"/>
    <w:rsid w:val="003C4A94"/>
    <w:rsid w:val="003E1B26"/>
    <w:rsid w:val="003E503F"/>
    <w:rsid w:val="003F0ADE"/>
    <w:rsid w:val="003F1B1C"/>
    <w:rsid w:val="003F61EB"/>
    <w:rsid w:val="003F7DE3"/>
    <w:rsid w:val="0040062D"/>
    <w:rsid w:val="00402598"/>
    <w:rsid w:val="0040323B"/>
    <w:rsid w:val="00403328"/>
    <w:rsid w:val="00403DD8"/>
    <w:rsid w:val="00404BA4"/>
    <w:rsid w:val="0040638C"/>
    <w:rsid w:val="00412A32"/>
    <w:rsid w:val="00415B9E"/>
    <w:rsid w:val="004178E9"/>
    <w:rsid w:val="00425D49"/>
    <w:rsid w:val="00425FA6"/>
    <w:rsid w:val="00434128"/>
    <w:rsid w:val="00442B43"/>
    <w:rsid w:val="00445C5A"/>
    <w:rsid w:val="0045210C"/>
    <w:rsid w:val="004529DE"/>
    <w:rsid w:val="00456246"/>
    <w:rsid w:val="004564D8"/>
    <w:rsid w:val="00456B10"/>
    <w:rsid w:val="00461253"/>
    <w:rsid w:val="00461C5B"/>
    <w:rsid w:val="00463754"/>
    <w:rsid w:val="00464B32"/>
    <w:rsid w:val="00465027"/>
    <w:rsid w:val="0046554D"/>
    <w:rsid w:val="00467AF1"/>
    <w:rsid w:val="00467FD5"/>
    <w:rsid w:val="00470293"/>
    <w:rsid w:val="0047486C"/>
    <w:rsid w:val="00475051"/>
    <w:rsid w:val="00475BD1"/>
    <w:rsid w:val="00475FC9"/>
    <w:rsid w:val="00476B80"/>
    <w:rsid w:val="00477168"/>
    <w:rsid w:val="00480A33"/>
    <w:rsid w:val="0048333B"/>
    <w:rsid w:val="00484734"/>
    <w:rsid w:val="00486083"/>
    <w:rsid w:val="00490010"/>
    <w:rsid w:val="00493361"/>
    <w:rsid w:val="0049644C"/>
    <w:rsid w:val="004A0221"/>
    <w:rsid w:val="004A2B8C"/>
    <w:rsid w:val="004A452F"/>
    <w:rsid w:val="004A4CD0"/>
    <w:rsid w:val="004A6899"/>
    <w:rsid w:val="004A6B54"/>
    <w:rsid w:val="004A7138"/>
    <w:rsid w:val="004B28AA"/>
    <w:rsid w:val="004B37F0"/>
    <w:rsid w:val="004C132F"/>
    <w:rsid w:val="004C308E"/>
    <w:rsid w:val="004D5817"/>
    <w:rsid w:val="004D5DC1"/>
    <w:rsid w:val="004E1F6B"/>
    <w:rsid w:val="004E5CA5"/>
    <w:rsid w:val="004E6806"/>
    <w:rsid w:val="004E7B5C"/>
    <w:rsid w:val="004F236C"/>
    <w:rsid w:val="004F2753"/>
    <w:rsid w:val="004F5759"/>
    <w:rsid w:val="004F6538"/>
    <w:rsid w:val="004F712F"/>
    <w:rsid w:val="00505748"/>
    <w:rsid w:val="00505D43"/>
    <w:rsid w:val="00513D82"/>
    <w:rsid w:val="00533BCB"/>
    <w:rsid w:val="0054327E"/>
    <w:rsid w:val="00544243"/>
    <w:rsid w:val="00546CCE"/>
    <w:rsid w:val="00550DAE"/>
    <w:rsid w:val="005518B6"/>
    <w:rsid w:val="00551BCA"/>
    <w:rsid w:val="00556DE1"/>
    <w:rsid w:val="005618A9"/>
    <w:rsid w:val="00561B2E"/>
    <w:rsid w:val="00572BEA"/>
    <w:rsid w:val="005750D2"/>
    <w:rsid w:val="005778B4"/>
    <w:rsid w:val="005827EA"/>
    <w:rsid w:val="00582EAD"/>
    <w:rsid w:val="00583941"/>
    <w:rsid w:val="005872EE"/>
    <w:rsid w:val="00595866"/>
    <w:rsid w:val="005967BE"/>
    <w:rsid w:val="005A093B"/>
    <w:rsid w:val="005A39AB"/>
    <w:rsid w:val="005A67A3"/>
    <w:rsid w:val="005B2A41"/>
    <w:rsid w:val="005B471F"/>
    <w:rsid w:val="005B530C"/>
    <w:rsid w:val="005B63AA"/>
    <w:rsid w:val="005C4937"/>
    <w:rsid w:val="005C72D5"/>
    <w:rsid w:val="005C7FB0"/>
    <w:rsid w:val="005D1544"/>
    <w:rsid w:val="005D61F2"/>
    <w:rsid w:val="005E0BEA"/>
    <w:rsid w:val="005E3B5B"/>
    <w:rsid w:val="005E5290"/>
    <w:rsid w:val="005F1E9E"/>
    <w:rsid w:val="005F4049"/>
    <w:rsid w:val="005F4D18"/>
    <w:rsid w:val="00601678"/>
    <w:rsid w:val="00612960"/>
    <w:rsid w:val="006137D9"/>
    <w:rsid w:val="00615D0A"/>
    <w:rsid w:val="00617C9A"/>
    <w:rsid w:val="00622113"/>
    <w:rsid w:val="00624FAE"/>
    <w:rsid w:val="00625436"/>
    <w:rsid w:val="00626304"/>
    <w:rsid w:val="00627494"/>
    <w:rsid w:val="00631026"/>
    <w:rsid w:val="0063188A"/>
    <w:rsid w:val="00632F4E"/>
    <w:rsid w:val="00633D32"/>
    <w:rsid w:val="00634071"/>
    <w:rsid w:val="006348B8"/>
    <w:rsid w:val="006352F6"/>
    <w:rsid w:val="0063625A"/>
    <w:rsid w:val="00640419"/>
    <w:rsid w:val="00642FBB"/>
    <w:rsid w:val="00647512"/>
    <w:rsid w:val="00647692"/>
    <w:rsid w:val="00647D1C"/>
    <w:rsid w:val="00651F22"/>
    <w:rsid w:val="00664B7A"/>
    <w:rsid w:val="0066580B"/>
    <w:rsid w:val="006723F1"/>
    <w:rsid w:val="00673D69"/>
    <w:rsid w:val="006766D1"/>
    <w:rsid w:val="0068457A"/>
    <w:rsid w:val="00687042"/>
    <w:rsid w:val="00687611"/>
    <w:rsid w:val="00690089"/>
    <w:rsid w:val="00691302"/>
    <w:rsid w:val="00691903"/>
    <w:rsid w:val="00693C11"/>
    <w:rsid w:val="00694397"/>
    <w:rsid w:val="00695A9D"/>
    <w:rsid w:val="00697A1D"/>
    <w:rsid w:val="006A5FD9"/>
    <w:rsid w:val="006C3813"/>
    <w:rsid w:val="006C72A8"/>
    <w:rsid w:val="006D00F3"/>
    <w:rsid w:val="006D0612"/>
    <w:rsid w:val="006D3FC3"/>
    <w:rsid w:val="006D4FDA"/>
    <w:rsid w:val="006D60B2"/>
    <w:rsid w:val="006E0F5B"/>
    <w:rsid w:val="006E120C"/>
    <w:rsid w:val="006E259F"/>
    <w:rsid w:val="006E32C0"/>
    <w:rsid w:val="006E3E01"/>
    <w:rsid w:val="006E43AE"/>
    <w:rsid w:val="006E5437"/>
    <w:rsid w:val="006E784D"/>
    <w:rsid w:val="006F1EB2"/>
    <w:rsid w:val="006F2253"/>
    <w:rsid w:val="006F36AC"/>
    <w:rsid w:val="006F7997"/>
    <w:rsid w:val="00704EB6"/>
    <w:rsid w:val="00706AC4"/>
    <w:rsid w:val="00707A5D"/>
    <w:rsid w:val="00707E02"/>
    <w:rsid w:val="007114AF"/>
    <w:rsid w:val="00714966"/>
    <w:rsid w:val="00716027"/>
    <w:rsid w:val="00730F7A"/>
    <w:rsid w:val="00732995"/>
    <w:rsid w:val="00736EF3"/>
    <w:rsid w:val="00737858"/>
    <w:rsid w:val="00742ED8"/>
    <w:rsid w:val="00747509"/>
    <w:rsid w:val="0074793F"/>
    <w:rsid w:val="00750D9A"/>
    <w:rsid w:val="007525C6"/>
    <w:rsid w:val="007607D7"/>
    <w:rsid w:val="007630EC"/>
    <w:rsid w:val="007678D5"/>
    <w:rsid w:val="00771855"/>
    <w:rsid w:val="00781F7D"/>
    <w:rsid w:val="0078335C"/>
    <w:rsid w:val="00786ED9"/>
    <w:rsid w:val="00787713"/>
    <w:rsid w:val="007900D7"/>
    <w:rsid w:val="007B7DC7"/>
    <w:rsid w:val="007C0470"/>
    <w:rsid w:val="007C5804"/>
    <w:rsid w:val="007C5D61"/>
    <w:rsid w:val="007D0195"/>
    <w:rsid w:val="007D3C3D"/>
    <w:rsid w:val="007E0762"/>
    <w:rsid w:val="007E07EB"/>
    <w:rsid w:val="007E3E04"/>
    <w:rsid w:val="007E6F09"/>
    <w:rsid w:val="007E77D0"/>
    <w:rsid w:val="007F14ED"/>
    <w:rsid w:val="007F3319"/>
    <w:rsid w:val="007F45EE"/>
    <w:rsid w:val="007F5F88"/>
    <w:rsid w:val="00800288"/>
    <w:rsid w:val="0081107C"/>
    <w:rsid w:val="00811B0F"/>
    <w:rsid w:val="00813A11"/>
    <w:rsid w:val="00816055"/>
    <w:rsid w:val="008208DE"/>
    <w:rsid w:val="008210BF"/>
    <w:rsid w:val="00824F71"/>
    <w:rsid w:val="00825AF6"/>
    <w:rsid w:val="008266DB"/>
    <w:rsid w:val="008301AE"/>
    <w:rsid w:val="00831369"/>
    <w:rsid w:val="00834B8F"/>
    <w:rsid w:val="00834D38"/>
    <w:rsid w:val="00837C49"/>
    <w:rsid w:val="008417D1"/>
    <w:rsid w:val="008452ED"/>
    <w:rsid w:val="00850B9C"/>
    <w:rsid w:val="008534A6"/>
    <w:rsid w:val="008542BD"/>
    <w:rsid w:val="008577F9"/>
    <w:rsid w:val="00865DE7"/>
    <w:rsid w:val="008670F3"/>
    <w:rsid w:val="00880602"/>
    <w:rsid w:val="00880A97"/>
    <w:rsid w:val="00880FAF"/>
    <w:rsid w:val="00882FA1"/>
    <w:rsid w:val="00883D35"/>
    <w:rsid w:val="008879D5"/>
    <w:rsid w:val="008932FA"/>
    <w:rsid w:val="0089414A"/>
    <w:rsid w:val="008945C2"/>
    <w:rsid w:val="00895692"/>
    <w:rsid w:val="008957E3"/>
    <w:rsid w:val="0089614F"/>
    <w:rsid w:val="008976C9"/>
    <w:rsid w:val="008A070E"/>
    <w:rsid w:val="008A5A0E"/>
    <w:rsid w:val="008A75B6"/>
    <w:rsid w:val="008B1090"/>
    <w:rsid w:val="008B4337"/>
    <w:rsid w:val="008B43EA"/>
    <w:rsid w:val="008B564D"/>
    <w:rsid w:val="008B5ABD"/>
    <w:rsid w:val="008B61DD"/>
    <w:rsid w:val="008C0234"/>
    <w:rsid w:val="008C2F15"/>
    <w:rsid w:val="008C56A5"/>
    <w:rsid w:val="008D2632"/>
    <w:rsid w:val="008D2762"/>
    <w:rsid w:val="008D285A"/>
    <w:rsid w:val="008D2BF9"/>
    <w:rsid w:val="008D5ED2"/>
    <w:rsid w:val="008E0C71"/>
    <w:rsid w:val="008E2E33"/>
    <w:rsid w:val="008E5D77"/>
    <w:rsid w:val="00901106"/>
    <w:rsid w:val="0090281B"/>
    <w:rsid w:val="0090766B"/>
    <w:rsid w:val="00912EC2"/>
    <w:rsid w:val="00913F67"/>
    <w:rsid w:val="0091422A"/>
    <w:rsid w:val="00914C42"/>
    <w:rsid w:val="009152AD"/>
    <w:rsid w:val="009247DF"/>
    <w:rsid w:val="00926A09"/>
    <w:rsid w:val="0092753F"/>
    <w:rsid w:val="00927765"/>
    <w:rsid w:val="00930730"/>
    <w:rsid w:val="00933927"/>
    <w:rsid w:val="009348EB"/>
    <w:rsid w:val="00935443"/>
    <w:rsid w:val="0094056B"/>
    <w:rsid w:val="00941DED"/>
    <w:rsid w:val="00951A75"/>
    <w:rsid w:val="00952469"/>
    <w:rsid w:val="00953B35"/>
    <w:rsid w:val="00954842"/>
    <w:rsid w:val="00963133"/>
    <w:rsid w:val="00964F31"/>
    <w:rsid w:val="00966853"/>
    <w:rsid w:val="00967FFE"/>
    <w:rsid w:val="009709A8"/>
    <w:rsid w:val="00973FDC"/>
    <w:rsid w:val="0097428D"/>
    <w:rsid w:val="009745FE"/>
    <w:rsid w:val="009751C4"/>
    <w:rsid w:val="00976677"/>
    <w:rsid w:val="009767FC"/>
    <w:rsid w:val="00977009"/>
    <w:rsid w:val="009813F1"/>
    <w:rsid w:val="00981555"/>
    <w:rsid w:val="00981D3F"/>
    <w:rsid w:val="0098352A"/>
    <w:rsid w:val="00990710"/>
    <w:rsid w:val="00995544"/>
    <w:rsid w:val="009958F2"/>
    <w:rsid w:val="009A093A"/>
    <w:rsid w:val="009A1D13"/>
    <w:rsid w:val="009A4C7D"/>
    <w:rsid w:val="009B212F"/>
    <w:rsid w:val="009B4BDC"/>
    <w:rsid w:val="009B5E20"/>
    <w:rsid w:val="009C094C"/>
    <w:rsid w:val="009C1346"/>
    <w:rsid w:val="009C2B03"/>
    <w:rsid w:val="009C410F"/>
    <w:rsid w:val="009C4AAB"/>
    <w:rsid w:val="009C5558"/>
    <w:rsid w:val="009C6972"/>
    <w:rsid w:val="009C754E"/>
    <w:rsid w:val="009C7C88"/>
    <w:rsid w:val="009D00B1"/>
    <w:rsid w:val="009D0C0B"/>
    <w:rsid w:val="009D1CBC"/>
    <w:rsid w:val="009D26BB"/>
    <w:rsid w:val="009E2A3E"/>
    <w:rsid w:val="009E2C8F"/>
    <w:rsid w:val="009E38D3"/>
    <w:rsid w:val="009E5EE6"/>
    <w:rsid w:val="009F3E5A"/>
    <w:rsid w:val="009F4673"/>
    <w:rsid w:val="009F649D"/>
    <w:rsid w:val="009F721F"/>
    <w:rsid w:val="009F7836"/>
    <w:rsid w:val="00A01FF3"/>
    <w:rsid w:val="00A03EA5"/>
    <w:rsid w:val="00A07472"/>
    <w:rsid w:val="00A0793B"/>
    <w:rsid w:val="00A17527"/>
    <w:rsid w:val="00A20054"/>
    <w:rsid w:val="00A231AA"/>
    <w:rsid w:val="00A30679"/>
    <w:rsid w:val="00A31AE8"/>
    <w:rsid w:val="00A340C7"/>
    <w:rsid w:val="00A366CD"/>
    <w:rsid w:val="00A405DB"/>
    <w:rsid w:val="00A40713"/>
    <w:rsid w:val="00A40EB7"/>
    <w:rsid w:val="00A418F2"/>
    <w:rsid w:val="00A461C4"/>
    <w:rsid w:val="00A52F6E"/>
    <w:rsid w:val="00A56BAA"/>
    <w:rsid w:val="00A60EC0"/>
    <w:rsid w:val="00A737A5"/>
    <w:rsid w:val="00A73CFF"/>
    <w:rsid w:val="00A75696"/>
    <w:rsid w:val="00A75DAA"/>
    <w:rsid w:val="00A764F3"/>
    <w:rsid w:val="00A85780"/>
    <w:rsid w:val="00A85F8E"/>
    <w:rsid w:val="00A8617D"/>
    <w:rsid w:val="00A9161D"/>
    <w:rsid w:val="00AA0DEE"/>
    <w:rsid w:val="00AA11BC"/>
    <w:rsid w:val="00AA221B"/>
    <w:rsid w:val="00AB3379"/>
    <w:rsid w:val="00AB53EC"/>
    <w:rsid w:val="00AB75F1"/>
    <w:rsid w:val="00AC1A83"/>
    <w:rsid w:val="00AC27E1"/>
    <w:rsid w:val="00AC3D28"/>
    <w:rsid w:val="00AC5E17"/>
    <w:rsid w:val="00AD0FCB"/>
    <w:rsid w:val="00AD1419"/>
    <w:rsid w:val="00AD1A64"/>
    <w:rsid w:val="00AD4923"/>
    <w:rsid w:val="00AD70E9"/>
    <w:rsid w:val="00AE339F"/>
    <w:rsid w:val="00AE33F7"/>
    <w:rsid w:val="00AE38B1"/>
    <w:rsid w:val="00AE56E4"/>
    <w:rsid w:val="00AE59DB"/>
    <w:rsid w:val="00AE5A31"/>
    <w:rsid w:val="00AF1AA3"/>
    <w:rsid w:val="00AF41F3"/>
    <w:rsid w:val="00B03E26"/>
    <w:rsid w:val="00B03EB4"/>
    <w:rsid w:val="00B03FBF"/>
    <w:rsid w:val="00B04211"/>
    <w:rsid w:val="00B05A0C"/>
    <w:rsid w:val="00B1189A"/>
    <w:rsid w:val="00B1297D"/>
    <w:rsid w:val="00B15743"/>
    <w:rsid w:val="00B217D8"/>
    <w:rsid w:val="00B30036"/>
    <w:rsid w:val="00B316C0"/>
    <w:rsid w:val="00B323E4"/>
    <w:rsid w:val="00B35011"/>
    <w:rsid w:val="00B36185"/>
    <w:rsid w:val="00B40493"/>
    <w:rsid w:val="00B40759"/>
    <w:rsid w:val="00B40AA3"/>
    <w:rsid w:val="00B41B28"/>
    <w:rsid w:val="00B43CFB"/>
    <w:rsid w:val="00B47345"/>
    <w:rsid w:val="00B47425"/>
    <w:rsid w:val="00B52D8F"/>
    <w:rsid w:val="00B54ACB"/>
    <w:rsid w:val="00B54BE8"/>
    <w:rsid w:val="00B55410"/>
    <w:rsid w:val="00B63E31"/>
    <w:rsid w:val="00B645CD"/>
    <w:rsid w:val="00B656FE"/>
    <w:rsid w:val="00B67487"/>
    <w:rsid w:val="00B70066"/>
    <w:rsid w:val="00B71001"/>
    <w:rsid w:val="00B82F87"/>
    <w:rsid w:val="00B8392D"/>
    <w:rsid w:val="00B83CCA"/>
    <w:rsid w:val="00B840BF"/>
    <w:rsid w:val="00B8660E"/>
    <w:rsid w:val="00B87564"/>
    <w:rsid w:val="00B92524"/>
    <w:rsid w:val="00BA3C7D"/>
    <w:rsid w:val="00BA5DC0"/>
    <w:rsid w:val="00BA6E7A"/>
    <w:rsid w:val="00BA746D"/>
    <w:rsid w:val="00BB3721"/>
    <w:rsid w:val="00BC1AC5"/>
    <w:rsid w:val="00BC616E"/>
    <w:rsid w:val="00BD2E12"/>
    <w:rsid w:val="00BD38EA"/>
    <w:rsid w:val="00BD558E"/>
    <w:rsid w:val="00BD757C"/>
    <w:rsid w:val="00BE192D"/>
    <w:rsid w:val="00BE2E2E"/>
    <w:rsid w:val="00BE4659"/>
    <w:rsid w:val="00BE527B"/>
    <w:rsid w:val="00BF00D0"/>
    <w:rsid w:val="00BF1D23"/>
    <w:rsid w:val="00BF1EC6"/>
    <w:rsid w:val="00BF5737"/>
    <w:rsid w:val="00BF72F8"/>
    <w:rsid w:val="00C06AF8"/>
    <w:rsid w:val="00C076CC"/>
    <w:rsid w:val="00C11283"/>
    <w:rsid w:val="00C11C95"/>
    <w:rsid w:val="00C120D7"/>
    <w:rsid w:val="00C147D4"/>
    <w:rsid w:val="00C2684D"/>
    <w:rsid w:val="00C30BC6"/>
    <w:rsid w:val="00C327A0"/>
    <w:rsid w:val="00C36D9E"/>
    <w:rsid w:val="00C40E50"/>
    <w:rsid w:val="00C464E1"/>
    <w:rsid w:val="00C46504"/>
    <w:rsid w:val="00C46D20"/>
    <w:rsid w:val="00C47260"/>
    <w:rsid w:val="00C50308"/>
    <w:rsid w:val="00C51112"/>
    <w:rsid w:val="00C5245A"/>
    <w:rsid w:val="00C61453"/>
    <w:rsid w:val="00C63245"/>
    <w:rsid w:val="00C65A50"/>
    <w:rsid w:val="00C65BB8"/>
    <w:rsid w:val="00C73293"/>
    <w:rsid w:val="00C747A6"/>
    <w:rsid w:val="00C75C3B"/>
    <w:rsid w:val="00C846F3"/>
    <w:rsid w:val="00C852E8"/>
    <w:rsid w:val="00C9091C"/>
    <w:rsid w:val="00C91148"/>
    <w:rsid w:val="00C95B42"/>
    <w:rsid w:val="00C972F8"/>
    <w:rsid w:val="00CA2E48"/>
    <w:rsid w:val="00CA3666"/>
    <w:rsid w:val="00CB075E"/>
    <w:rsid w:val="00CB2199"/>
    <w:rsid w:val="00CB5FB5"/>
    <w:rsid w:val="00CB6B5A"/>
    <w:rsid w:val="00CB7701"/>
    <w:rsid w:val="00CC04A2"/>
    <w:rsid w:val="00CC22A2"/>
    <w:rsid w:val="00CD09E0"/>
    <w:rsid w:val="00CE3E90"/>
    <w:rsid w:val="00CE66D4"/>
    <w:rsid w:val="00D00C02"/>
    <w:rsid w:val="00D0256C"/>
    <w:rsid w:val="00D02891"/>
    <w:rsid w:val="00D0471A"/>
    <w:rsid w:val="00D05FF1"/>
    <w:rsid w:val="00D0649F"/>
    <w:rsid w:val="00D10660"/>
    <w:rsid w:val="00D1159B"/>
    <w:rsid w:val="00D140BB"/>
    <w:rsid w:val="00D20176"/>
    <w:rsid w:val="00D21C66"/>
    <w:rsid w:val="00D237B9"/>
    <w:rsid w:val="00D31B50"/>
    <w:rsid w:val="00D37428"/>
    <w:rsid w:val="00D448C2"/>
    <w:rsid w:val="00D45A67"/>
    <w:rsid w:val="00D46BD3"/>
    <w:rsid w:val="00D470DA"/>
    <w:rsid w:val="00D51CB9"/>
    <w:rsid w:val="00D620C2"/>
    <w:rsid w:val="00D63C7A"/>
    <w:rsid w:val="00D66B11"/>
    <w:rsid w:val="00D71A1D"/>
    <w:rsid w:val="00D72D01"/>
    <w:rsid w:val="00D740EA"/>
    <w:rsid w:val="00D76A66"/>
    <w:rsid w:val="00D772E9"/>
    <w:rsid w:val="00D82507"/>
    <w:rsid w:val="00D84202"/>
    <w:rsid w:val="00D85C7A"/>
    <w:rsid w:val="00D92F97"/>
    <w:rsid w:val="00D9508B"/>
    <w:rsid w:val="00DA01E5"/>
    <w:rsid w:val="00DA217A"/>
    <w:rsid w:val="00DB0167"/>
    <w:rsid w:val="00DB3177"/>
    <w:rsid w:val="00DB4796"/>
    <w:rsid w:val="00DC3087"/>
    <w:rsid w:val="00DC4CB0"/>
    <w:rsid w:val="00DD59BE"/>
    <w:rsid w:val="00DE413C"/>
    <w:rsid w:val="00DE5641"/>
    <w:rsid w:val="00DE5A1C"/>
    <w:rsid w:val="00DE67DC"/>
    <w:rsid w:val="00DE777F"/>
    <w:rsid w:val="00DF1C74"/>
    <w:rsid w:val="00DF1D57"/>
    <w:rsid w:val="00DF422E"/>
    <w:rsid w:val="00DF6E0C"/>
    <w:rsid w:val="00E06B3C"/>
    <w:rsid w:val="00E078C3"/>
    <w:rsid w:val="00E10C61"/>
    <w:rsid w:val="00E119FB"/>
    <w:rsid w:val="00E14FDA"/>
    <w:rsid w:val="00E1679B"/>
    <w:rsid w:val="00E2163C"/>
    <w:rsid w:val="00E2246D"/>
    <w:rsid w:val="00E22EEF"/>
    <w:rsid w:val="00E2451A"/>
    <w:rsid w:val="00E26CF3"/>
    <w:rsid w:val="00E30340"/>
    <w:rsid w:val="00E324A1"/>
    <w:rsid w:val="00E34025"/>
    <w:rsid w:val="00E37467"/>
    <w:rsid w:val="00E40E6B"/>
    <w:rsid w:val="00E52972"/>
    <w:rsid w:val="00E57765"/>
    <w:rsid w:val="00E676D8"/>
    <w:rsid w:val="00E712C0"/>
    <w:rsid w:val="00E715E8"/>
    <w:rsid w:val="00E748DA"/>
    <w:rsid w:val="00E74B0D"/>
    <w:rsid w:val="00E81120"/>
    <w:rsid w:val="00E81D5C"/>
    <w:rsid w:val="00E81ED8"/>
    <w:rsid w:val="00E83D6E"/>
    <w:rsid w:val="00E87901"/>
    <w:rsid w:val="00E91717"/>
    <w:rsid w:val="00E939AA"/>
    <w:rsid w:val="00E93A01"/>
    <w:rsid w:val="00E9493E"/>
    <w:rsid w:val="00E97569"/>
    <w:rsid w:val="00EA036C"/>
    <w:rsid w:val="00EA1299"/>
    <w:rsid w:val="00EA3293"/>
    <w:rsid w:val="00EA602A"/>
    <w:rsid w:val="00EA6625"/>
    <w:rsid w:val="00EB0ECD"/>
    <w:rsid w:val="00EB1BA1"/>
    <w:rsid w:val="00EB22AA"/>
    <w:rsid w:val="00EC04D1"/>
    <w:rsid w:val="00EC2399"/>
    <w:rsid w:val="00EC2955"/>
    <w:rsid w:val="00EC2AD8"/>
    <w:rsid w:val="00ED0044"/>
    <w:rsid w:val="00ED218C"/>
    <w:rsid w:val="00ED25FE"/>
    <w:rsid w:val="00ED2DA6"/>
    <w:rsid w:val="00ED3838"/>
    <w:rsid w:val="00ED77B7"/>
    <w:rsid w:val="00EE1709"/>
    <w:rsid w:val="00EE191C"/>
    <w:rsid w:val="00EE783C"/>
    <w:rsid w:val="00EF04FA"/>
    <w:rsid w:val="00EF642D"/>
    <w:rsid w:val="00F00967"/>
    <w:rsid w:val="00F040A4"/>
    <w:rsid w:val="00F11BD1"/>
    <w:rsid w:val="00F121EA"/>
    <w:rsid w:val="00F12C67"/>
    <w:rsid w:val="00F13C2D"/>
    <w:rsid w:val="00F140FF"/>
    <w:rsid w:val="00F14334"/>
    <w:rsid w:val="00F15901"/>
    <w:rsid w:val="00F166D5"/>
    <w:rsid w:val="00F17E10"/>
    <w:rsid w:val="00F214FF"/>
    <w:rsid w:val="00F2197C"/>
    <w:rsid w:val="00F22483"/>
    <w:rsid w:val="00F2405E"/>
    <w:rsid w:val="00F33B25"/>
    <w:rsid w:val="00F3437B"/>
    <w:rsid w:val="00F43D66"/>
    <w:rsid w:val="00F4506D"/>
    <w:rsid w:val="00F4797B"/>
    <w:rsid w:val="00F47B3A"/>
    <w:rsid w:val="00F55D10"/>
    <w:rsid w:val="00F562BA"/>
    <w:rsid w:val="00F6259D"/>
    <w:rsid w:val="00F641EF"/>
    <w:rsid w:val="00F650C4"/>
    <w:rsid w:val="00F65B16"/>
    <w:rsid w:val="00F660E1"/>
    <w:rsid w:val="00F7423E"/>
    <w:rsid w:val="00F76920"/>
    <w:rsid w:val="00F815A1"/>
    <w:rsid w:val="00F82676"/>
    <w:rsid w:val="00F82F48"/>
    <w:rsid w:val="00F8789F"/>
    <w:rsid w:val="00F9374F"/>
    <w:rsid w:val="00F96812"/>
    <w:rsid w:val="00F977D7"/>
    <w:rsid w:val="00FA3876"/>
    <w:rsid w:val="00FA6579"/>
    <w:rsid w:val="00FA67C9"/>
    <w:rsid w:val="00FB07DB"/>
    <w:rsid w:val="00FB26F4"/>
    <w:rsid w:val="00FB4ED0"/>
    <w:rsid w:val="00FB5B0E"/>
    <w:rsid w:val="00FB698D"/>
    <w:rsid w:val="00FB7419"/>
    <w:rsid w:val="00FC2CE7"/>
    <w:rsid w:val="00FC2DA5"/>
    <w:rsid w:val="00FC3406"/>
    <w:rsid w:val="00FC5894"/>
    <w:rsid w:val="00FD155C"/>
    <w:rsid w:val="00FD1625"/>
    <w:rsid w:val="00FD1DFC"/>
    <w:rsid w:val="00FD6784"/>
    <w:rsid w:val="00FE2988"/>
    <w:rsid w:val="00FE4AE9"/>
    <w:rsid w:val="00FF46C6"/>
    <w:rsid w:val="7DE070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50F92"/>
  <w15:chartTrackingRefBased/>
  <w15:docId w15:val="{2D5CDF27-9792-4B31-8B14-AC9EBF90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E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3C"/>
  </w:style>
  <w:style w:type="paragraph" w:styleId="Ttulo1">
    <w:name w:val="heading 1"/>
    <w:basedOn w:val="Ttulo2"/>
    <w:next w:val="Normal"/>
    <w:link w:val="Ttulo1Car"/>
    <w:uiPriority w:val="9"/>
    <w:qFormat/>
    <w:rsid w:val="00341ACB"/>
    <w:pPr>
      <w:outlineLvl w:val="0"/>
    </w:pPr>
  </w:style>
  <w:style w:type="paragraph" w:styleId="Ttulo2">
    <w:name w:val="heading 2"/>
    <w:basedOn w:val="Normal"/>
    <w:next w:val="Normal"/>
    <w:link w:val="Ttulo2Car"/>
    <w:uiPriority w:val="9"/>
    <w:unhideWhenUsed/>
    <w:qFormat/>
    <w:rsid w:val="00B35011"/>
    <w:pPr>
      <w:keepNext/>
      <w:keepLines/>
      <w:spacing w:before="120" w:after="0"/>
      <w:outlineLvl w:val="1"/>
    </w:pPr>
    <w:rPr>
      <w:rFonts w:asciiTheme="majorHAnsi" w:eastAsiaTheme="majorEastAsia" w:hAnsiTheme="majorHAnsi" w:cstheme="majorBidi"/>
      <w:sz w:val="36"/>
      <w:szCs w:val="36"/>
    </w:rPr>
  </w:style>
  <w:style w:type="paragraph" w:styleId="Ttulo3">
    <w:name w:val="heading 3"/>
    <w:basedOn w:val="Normal"/>
    <w:next w:val="Normal"/>
    <w:link w:val="Ttulo3Car"/>
    <w:uiPriority w:val="9"/>
    <w:semiHidden/>
    <w:unhideWhenUsed/>
    <w:qFormat/>
    <w:rsid w:val="00B35011"/>
    <w:pPr>
      <w:keepNext/>
      <w:keepLines/>
      <w:spacing w:before="80" w:after="0"/>
      <w:outlineLvl w:val="2"/>
    </w:pPr>
    <w:rPr>
      <w:rFonts w:asciiTheme="majorHAnsi" w:eastAsiaTheme="majorEastAsia" w:hAnsiTheme="majorHAnsi" w:cstheme="majorBidi"/>
      <w:caps/>
      <w:sz w:val="28"/>
      <w:szCs w:val="28"/>
    </w:rPr>
  </w:style>
  <w:style w:type="paragraph" w:styleId="Ttulo4">
    <w:name w:val="heading 4"/>
    <w:basedOn w:val="Normal"/>
    <w:next w:val="Normal"/>
    <w:link w:val="Ttulo4Car"/>
    <w:uiPriority w:val="9"/>
    <w:semiHidden/>
    <w:unhideWhenUsed/>
    <w:qFormat/>
    <w:rsid w:val="00B35011"/>
    <w:pPr>
      <w:keepNext/>
      <w:keepLines/>
      <w:spacing w:before="80" w:after="0"/>
      <w:outlineLvl w:val="3"/>
    </w:pPr>
    <w:rPr>
      <w:rFonts w:asciiTheme="majorHAnsi" w:eastAsiaTheme="majorEastAsia" w:hAnsiTheme="majorHAnsi" w:cstheme="majorBidi"/>
      <w:i/>
      <w:iCs/>
      <w:sz w:val="28"/>
      <w:szCs w:val="28"/>
    </w:rPr>
  </w:style>
  <w:style w:type="paragraph" w:styleId="Ttulo5">
    <w:name w:val="heading 5"/>
    <w:basedOn w:val="Normal"/>
    <w:next w:val="Normal"/>
    <w:link w:val="Ttulo5Car"/>
    <w:uiPriority w:val="9"/>
    <w:semiHidden/>
    <w:unhideWhenUsed/>
    <w:qFormat/>
    <w:rsid w:val="00B35011"/>
    <w:pPr>
      <w:keepNext/>
      <w:keepLines/>
      <w:spacing w:before="80" w:after="0"/>
      <w:outlineLvl w:val="4"/>
    </w:pPr>
    <w:rPr>
      <w:rFonts w:asciiTheme="majorHAnsi" w:eastAsiaTheme="majorEastAsia" w:hAnsiTheme="majorHAnsi" w:cstheme="majorBidi"/>
      <w:sz w:val="24"/>
      <w:szCs w:val="24"/>
    </w:rPr>
  </w:style>
  <w:style w:type="paragraph" w:styleId="Ttulo6">
    <w:name w:val="heading 6"/>
    <w:basedOn w:val="Normal"/>
    <w:next w:val="Normal"/>
    <w:link w:val="Ttulo6Car"/>
    <w:uiPriority w:val="9"/>
    <w:semiHidden/>
    <w:unhideWhenUsed/>
    <w:qFormat/>
    <w:rsid w:val="00B35011"/>
    <w:pPr>
      <w:keepNext/>
      <w:keepLines/>
      <w:spacing w:before="80" w:after="0"/>
      <w:outlineLvl w:val="5"/>
    </w:pPr>
    <w:rPr>
      <w:rFonts w:asciiTheme="majorHAnsi" w:eastAsiaTheme="majorEastAsia" w:hAnsiTheme="majorHAnsi" w:cstheme="majorBidi"/>
      <w:i/>
      <w:iCs/>
      <w:sz w:val="24"/>
      <w:szCs w:val="24"/>
    </w:rPr>
  </w:style>
  <w:style w:type="paragraph" w:styleId="Ttulo7">
    <w:name w:val="heading 7"/>
    <w:basedOn w:val="Normal"/>
    <w:next w:val="Normal"/>
    <w:link w:val="Ttulo7Car"/>
    <w:uiPriority w:val="9"/>
    <w:semiHidden/>
    <w:unhideWhenUsed/>
    <w:qFormat/>
    <w:rsid w:val="00B35011"/>
    <w:pPr>
      <w:keepNext/>
      <w:keepLines/>
      <w:spacing w:before="80" w:after="0"/>
      <w:outlineLvl w:val="6"/>
    </w:pPr>
    <w:rPr>
      <w:rFonts w:asciiTheme="majorHAnsi" w:eastAsiaTheme="majorEastAsia" w:hAnsiTheme="majorHAnsi" w:cstheme="majorBidi"/>
      <w:color w:val="595959" w:themeColor="text1" w:themeTint="A6"/>
      <w:sz w:val="24"/>
      <w:szCs w:val="24"/>
    </w:rPr>
  </w:style>
  <w:style w:type="paragraph" w:styleId="Ttulo8">
    <w:name w:val="heading 8"/>
    <w:basedOn w:val="Normal"/>
    <w:next w:val="Normal"/>
    <w:link w:val="Ttulo8Car"/>
    <w:uiPriority w:val="9"/>
    <w:semiHidden/>
    <w:unhideWhenUsed/>
    <w:qFormat/>
    <w:rsid w:val="00B35011"/>
    <w:pPr>
      <w:keepNext/>
      <w:keepLines/>
      <w:spacing w:before="80" w:after="0"/>
      <w:outlineLvl w:val="7"/>
    </w:pPr>
    <w:rPr>
      <w:rFonts w:asciiTheme="majorHAnsi" w:eastAsiaTheme="majorEastAsia" w:hAnsiTheme="majorHAnsi" w:cstheme="majorBidi"/>
      <w:caps/>
    </w:rPr>
  </w:style>
  <w:style w:type="paragraph" w:styleId="Ttulo9">
    <w:name w:val="heading 9"/>
    <w:basedOn w:val="Normal"/>
    <w:next w:val="Normal"/>
    <w:link w:val="Ttulo9Car"/>
    <w:uiPriority w:val="9"/>
    <w:semiHidden/>
    <w:unhideWhenUsed/>
    <w:qFormat/>
    <w:rsid w:val="00B35011"/>
    <w:pPr>
      <w:keepNext/>
      <w:keepLines/>
      <w:spacing w:before="80" w:after="0"/>
      <w:outlineLvl w:val="8"/>
    </w:pPr>
    <w:rPr>
      <w:rFonts w:asciiTheme="majorHAnsi" w:eastAsiaTheme="majorEastAsia" w:hAnsiTheme="majorHAnsi" w:cstheme="majorBidi"/>
      <w:i/>
      <w:iCs/>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F4E"/>
    <w:pPr>
      <w:tabs>
        <w:tab w:val="center" w:pos="4252"/>
        <w:tab w:val="right" w:pos="8504"/>
      </w:tabs>
    </w:pPr>
  </w:style>
  <w:style w:type="character" w:customStyle="1" w:styleId="EncabezadoCar">
    <w:name w:val="Encabezado Car"/>
    <w:basedOn w:val="Fuentedeprrafopredeter"/>
    <w:link w:val="Encabezado"/>
    <w:uiPriority w:val="99"/>
    <w:rsid w:val="00632F4E"/>
  </w:style>
  <w:style w:type="paragraph" w:styleId="Piedepgina">
    <w:name w:val="footer"/>
    <w:basedOn w:val="Normal"/>
    <w:link w:val="PiedepginaCar"/>
    <w:uiPriority w:val="99"/>
    <w:unhideWhenUsed/>
    <w:rsid w:val="00632F4E"/>
    <w:pPr>
      <w:tabs>
        <w:tab w:val="center" w:pos="4252"/>
        <w:tab w:val="right" w:pos="8504"/>
      </w:tabs>
    </w:pPr>
  </w:style>
  <w:style w:type="character" w:customStyle="1" w:styleId="PiedepginaCar">
    <w:name w:val="Pie de página Car"/>
    <w:basedOn w:val="Fuentedeprrafopredeter"/>
    <w:link w:val="Piedepgina"/>
    <w:uiPriority w:val="99"/>
    <w:rsid w:val="00632F4E"/>
  </w:style>
  <w:style w:type="paragraph" w:styleId="Prrafodelista">
    <w:name w:val="List Paragraph"/>
    <w:aliases w:val="Lista 123,Párrafo de lista numerado"/>
    <w:basedOn w:val="Normal"/>
    <w:link w:val="PrrafodelistaCar"/>
    <w:uiPriority w:val="34"/>
    <w:qFormat/>
    <w:rsid w:val="00632F4E"/>
    <w:pPr>
      <w:ind w:left="720"/>
      <w:contextualSpacing/>
    </w:pPr>
  </w:style>
  <w:style w:type="table" w:styleId="Tablaconcuadrcula">
    <w:name w:val="Table Grid"/>
    <w:basedOn w:val="Tablanormal"/>
    <w:uiPriority w:val="39"/>
    <w:rsid w:val="002E69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4F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4F69"/>
    <w:rPr>
      <w:rFonts w:ascii="Segoe UI" w:hAnsi="Segoe UI" w:cs="Segoe UI"/>
      <w:sz w:val="18"/>
      <w:szCs w:val="18"/>
      <w:lang w:eastAsia="es-ES"/>
    </w:rPr>
  </w:style>
  <w:style w:type="character" w:styleId="Refdecomentario">
    <w:name w:val="annotation reference"/>
    <w:basedOn w:val="Fuentedeprrafopredeter"/>
    <w:uiPriority w:val="99"/>
    <w:semiHidden/>
    <w:unhideWhenUsed/>
    <w:rsid w:val="00E9493E"/>
    <w:rPr>
      <w:sz w:val="16"/>
      <w:szCs w:val="16"/>
    </w:rPr>
  </w:style>
  <w:style w:type="paragraph" w:styleId="Textocomentario">
    <w:name w:val="annotation text"/>
    <w:basedOn w:val="Normal"/>
    <w:link w:val="TextocomentarioCar"/>
    <w:uiPriority w:val="99"/>
    <w:semiHidden/>
    <w:unhideWhenUsed/>
    <w:rsid w:val="00E9493E"/>
    <w:rPr>
      <w:sz w:val="20"/>
      <w:szCs w:val="20"/>
    </w:rPr>
  </w:style>
  <w:style w:type="character" w:customStyle="1" w:styleId="TextocomentarioCar">
    <w:name w:val="Texto comentario Car"/>
    <w:basedOn w:val="Fuentedeprrafopredeter"/>
    <w:link w:val="Textocomentario"/>
    <w:uiPriority w:val="99"/>
    <w:semiHidden/>
    <w:rsid w:val="00E9493E"/>
    <w:rPr>
      <w:rFonts w:ascii="Calibri" w:hAnsi="Calibri" w:cs="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9493E"/>
    <w:rPr>
      <w:b/>
      <w:bCs/>
    </w:rPr>
  </w:style>
  <w:style w:type="character" w:customStyle="1" w:styleId="AsuntodelcomentarioCar">
    <w:name w:val="Asunto del comentario Car"/>
    <w:basedOn w:val="TextocomentarioCar"/>
    <w:link w:val="Asuntodelcomentario"/>
    <w:uiPriority w:val="99"/>
    <w:semiHidden/>
    <w:rsid w:val="00E9493E"/>
    <w:rPr>
      <w:rFonts w:ascii="Calibri" w:hAnsi="Calibri" w:cs="Calibri"/>
      <w:b/>
      <w:bCs/>
      <w:sz w:val="20"/>
      <w:szCs w:val="20"/>
      <w:lang w:eastAsia="es-ES"/>
    </w:rPr>
  </w:style>
  <w:style w:type="paragraph" w:styleId="Sinespaciado">
    <w:name w:val="No Spacing"/>
    <w:link w:val="SinespaciadoCar"/>
    <w:uiPriority w:val="1"/>
    <w:qFormat/>
    <w:rsid w:val="00B35011"/>
    <w:pPr>
      <w:spacing w:after="0"/>
    </w:pPr>
  </w:style>
  <w:style w:type="character" w:customStyle="1" w:styleId="SinespaciadoCar">
    <w:name w:val="Sin espaciado Car"/>
    <w:basedOn w:val="Fuentedeprrafopredeter"/>
    <w:link w:val="Sinespaciado"/>
    <w:uiPriority w:val="1"/>
    <w:rsid w:val="00346720"/>
  </w:style>
  <w:style w:type="character" w:customStyle="1" w:styleId="Ttulo1Car">
    <w:name w:val="Título 1 Car"/>
    <w:basedOn w:val="Fuentedeprrafopredeter"/>
    <w:link w:val="Ttulo1"/>
    <w:uiPriority w:val="9"/>
    <w:rsid w:val="00341ACB"/>
    <w:rPr>
      <w:rFonts w:asciiTheme="majorHAnsi" w:eastAsiaTheme="majorEastAsia" w:hAnsiTheme="majorHAnsi" w:cstheme="majorBidi"/>
      <w:sz w:val="36"/>
      <w:szCs w:val="36"/>
    </w:rPr>
  </w:style>
  <w:style w:type="character" w:customStyle="1" w:styleId="Ttulo2Car">
    <w:name w:val="Título 2 Car"/>
    <w:basedOn w:val="Fuentedeprrafopredeter"/>
    <w:link w:val="Ttulo2"/>
    <w:uiPriority w:val="9"/>
    <w:rsid w:val="00B35011"/>
    <w:rPr>
      <w:rFonts w:asciiTheme="majorHAnsi" w:eastAsiaTheme="majorEastAsia" w:hAnsiTheme="majorHAnsi" w:cstheme="majorBidi"/>
      <w:sz w:val="36"/>
      <w:szCs w:val="36"/>
    </w:rPr>
  </w:style>
  <w:style w:type="character" w:customStyle="1" w:styleId="Ttulo3Car">
    <w:name w:val="Título 3 Car"/>
    <w:basedOn w:val="Fuentedeprrafopredeter"/>
    <w:link w:val="Ttulo3"/>
    <w:uiPriority w:val="9"/>
    <w:semiHidden/>
    <w:rsid w:val="00B35011"/>
    <w:rPr>
      <w:rFonts w:asciiTheme="majorHAnsi" w:eastAsiaTheme="majorEastAsia" w:hAnsiTheme="majorHAnsi" w:cstheme="majorBidi"/>
      <w:caps/>
      <w:sz w:val="28"/>
      <w:szCs w:val="28"/>
    </w:rPr>
  </w:style>
  <w:style w:type="character" w:customStyle="1" w:styleId="Ttulo4Car">
    <w:name w:val="Título 4 Car"/>
    <w:basedOn w:val="Fuentedeprrafopredeter"/>
    <w:link w:val="Ttulo4"/>
    <w:uiPriority w:val="9"/>
    <w:semiHidden/>
    <w:rsid w:val="00B35011"/>
    <w:rPr>
      <w:rFonts w:asciiTheme="majorHAnsi" w:eastAsiaTheme="majorEastAsia" w:hAnsiTheme="majorHAnsi" w:cstheme="majorBidi"/>
      <w:i/>
      <w:iCs/>
      <w:sz w:val="28"/>
      <w:szCs w:val="28"/>
    </w:rPr>
  </w:style>
  <w:style w:type="character" w:customStyle="1" w:styleId="Ttulo5Car">
    <w:name w:val="Título 5 Car"/>
    <w:basedOn w:val="Fuentedeprrafopredeter"/>
    <w:link w:val="Ttulo5"/>
    <w:uiPriority w:val="9"/>
    <w:semiHidden/>
    <w:rsid w:val="00B35011"/>
    <w:rPr>
      <w:rFonts w:asciiTheme="majorHAnsi" w:eastAsiaTheme="majorEastAsia" w:hAnsiTheme="majorHAnsi" w:cstheme="majorBidi"/>
      <w:sz w:val="24"/>
      <w:szCs w:val="24"/>
    </w:rPr>
  </w:style>
  <w:style w:type="character" w:customStyle="1" w:styleId="Ttulo6Car">
    <w:name w:val="Título 6 Car"/>
    <w:basedOn w:val="Fuentedeprrafopredeter"/>
    <w:link w:val="Ttulo6"/>
    <w:uiPriority w:val="9"/>
    <w:semiHidden/>
    <w:rsid w:val="00B35011"/>
    <w:rPr>
      <w:rFonts w:asciiTheme="majorHAnsi" w:eastAsiaTheme="majorEastAsia" w:hAnsiTheme="majorHAnsi" w:cstheme="majorBidi"/>
      <w:i/>
      <w:iCs/>
      <w:sz w:val="24"/>
      <w:szCs w:val="24"/>
    </w:rPr>
  </w:style>
  <w:style w:type="character" w:customStyle="1" w:styleId="Ttulo7Car">
    <w:name w:val="Título 7 Car"/>
    <w:basedOn w:val="Fuentedeprrafopredeter"/>
    <w:link w:val="Ttulo7"/>
    <w:uiPriority w:val="9"/>
    <w:semiHidden/>
    <w:rsid w:val="00B35011"/>
    <w:rPr>
      <w:rFonts w:asciiTheme="majorHAnsi" w:eastAsiaTheme="majorEastAsia" w:hAnsiTheme="majorHAnsi" w:cstheme="majorBidi"/>
      <w:color w:val="595959" w:themeColor="text1" w:themeTint="A6"/>
      <w:sz w:val="24"/>
      <w:szCs w:val="24"/>
    </w:rPr>
  </w:style>
  <w:style w:type="character" w:customStyle="1" w:styleId="Ttulo8Car">
    <w:name w:val="Título 8 Car"/>
    <w:basedOn w:val="Fuentedeprrafopredeter"/>
    <w:link w:val="Ttulo8"/>
    <w:uiPriority w:val="9"/>
    <w:semiHidden/>
    <w:rsid w:val="00B35011"/>
    <w:rPr>
      <w:rFonts w:asciiTheme="majorHAnsi" w:eastAsiaTheme="majorEastAsia" w:hAnsiTheme="majorHAnsi" w:cstheme="majorBidi"/>
      <w:caps/>
    </w:rPr>
  </w:style>
  <w:style w:type="character" w:customStyle="1" w:styleId="Ttulo9Car">
    <w:name w:val="Título 9 Car"/>
    <w:basedOn w:val="Fuentedeprrafopredeter"/>
    <w:link w:val="Ttulo9"/>
    <w:uiPriority w:val="9"/>
    <w:semiHidden/>
    <w:rsid w:val="00B35011"/>
    <w:rPr>
      <w:rFonts w:asciiTheme="majorHAnsi" w:eastAsiaTheme="majorEastAsia" w:hAnsiTheme="majorHAnsi" w:cstheme="majorBidi"/>
      <w:i/>
      <w:iCs/>
      <w:caps/>
    </w:rPr>
  </w:style>
  <w:style w:type="paragraph" w:styleId="Descripcin">
    <w:name w:val="caption"/>
    <w:basedOn w:val="Normal"/>
    <w:next w:val="Normal"/>
    <w:uiPriority w:val="35"/>
    <w:semiHidden/>
    <w:unhideWhenUsed/>
    <w:qFormat/>
    <w:rsid w:val="00B35011"/>
    <w:rPr>
      <w:b/>
      <w:bCs/>
      <w:color w:val="ED7D31" w:themeColor="accent2"/>
      <w:spacing w:val="10"/>
      <w:sz w:val="16"/>
      <w:szCs w:val="16"/>
    </w:rPr>
  </w:style>
  <w:style w:type="paragraph" w:styleId="Ttulo">
    <w:name w:val="Title"/>
    <w:basedOn w:val="Normal"/>
    <w:next w:val="Normal"/>
    <w:link w:val="TtuloCar"/>
    <w:uiPriority w:val="10"/>
    <w:qFormat/>
    <w:rsid w:val="00B35011"/>
    <w:pPr>
      <w:spacing w:after="0"/>
      <w:contextualSpacing/>
    </w:pPr>
    <w:rPr>
      <w:rFonts w:asciiTheme="majorHAnsi" w:eastAsiaTheme="majorEastAsia" w:hAnsiTheme="majorHAnsi" w:cstheme="majorBidi"/>
      <w:caps/>
      <w:spacing w:val="40"/>
      <w:sz w:val="76"/>
      <w:szCs w:val="76"/>
    </w:rPr>
  </w:style>
  <w:style w:type="character" w:customStyle="1" w:styleId="TtuloCar">
    <w:name w:val="Título Car"/>
    <w:basedOn w:val="Fuentedeprrafopredeter"/>
    <w:link w:val="Ttulo"/>
    <w:uiPriority w:val="10"/>
    <w:rsid w:val="00B35011"/>
    <w:rPr>
      <w:rFonts w:asciiTheme="majorHAnsi" w:eastAsiaTheme="majorEastAsia" w:hAnsiTheme="majorHAnsi" w:cstheme="majorBidi"/>
      <w:caps/>
      <w:spacing w:val="40"/>
      <w:sz w:val="76"/>
      <w:szCs w:val="76"/>
    </w:rPr>
  </w:style>
  <w:style w:type="paragraph" w:styleId="Subttulo">
    <w:name w:val="Subtitle"/>
    <w:basedOn w:val="Normal"/>
    <w:next w:val="Normal"/>
    <w:link w:val="SubttuloCar"/>
    <w:uiPriority w:val="11"/>
    <w:qFormat/>
    <w:rsid w:val="00B35011"/>
    <w:pPr>
      <w:numPr>
        <w:ilvl w:val="1"/>
      </w:numPr>
      <w:spacing w:after="240"/>
    </w:pPr>
    <w:rPr>
      <w:color w:val="000000" w:themeColor="text1"/>
      <w:sz w:val="24"/>
      <w:szCs w:val="24"/>
    </w:rPr>
  </w:style>
  <w:style w:type="character" w:customStyle="1" w:styleId="SubttuloCar">
    <w:name w:val="Subtítulo Car"/>
    <w:basedOn w:val="Fuentedeprrafopredeter"/>
    <w:link w:val="Subttulo"/>
    <w:uiPriority w:val="11"/>
    <w:rsid w:val="00B35011"/>
    <w:rPr>
      <w:color w:val="000000" w:themeColor="text1"/>
      <w:sz w:val="24"/>
      <w:szCs w:val="24"/>
    </w:rPr>
  </w:style>
  <w:style w:type="character" w:styleId="Textoennegrita">
    <w:name w:val="Strong"/>
    <w:basedOn w:val="Fuentedeprrafopredeter"/>
    <w:uiPriority w:val="22"/>
    <w:qFormat/>
    <w:rsid w:val="00B35011"/>
    <w:rPr>
      <w:rFonts w:asciiTheme="minorHAnsi" w:eastAsiaTheme="minorEastAsia" w:hAnsiTheme="minorHAnsi" w:cstheme="minorBidi"/>
      <w:b/>
      <w:bCs/>
      <w:spacing w:val="0"/>
      <w:w w:val="100"/>
      <w:position w:val="0"/>
      <w:sz w:val="20"/>
      <w:szCs w:val="20"/>
    </w:rPr>
  </w:style>
  <w:style w:type="character" w:styleId="nfasis">
    <w:name w:val="Emphasis"/>
    <w:basedOn w:val="Fuentedeprrafopredeter"/>
    <w:uiPriority w:val="20"/>
    <w:qFormat/>
    <w:rsid w:val="00B35011"/>
    <w:rPr>
      <w:rFonts w:asciiTheme="minorHAnsi" w:eastAsiaTheme="minorEastAsia" w:hAnsiTheme="minorHAnsi" w:cstheme="minorBidi"/>
      <w:i/>
      <w:iCs/>
      <w:color w:val="C45911" w:themeColor="accent2" w:themeShade="BF"/>
      <w:sz w:val="20"/>
      <w:szCs w:val="20"/>
    </w:rPr>
  </w:style>
  <w:style w:type="paragraph" w:styleId="Cita">
    <w:name w:val="Quote"/>
    <w:basedOn w:val="Normal"/>
    <w:next w:val="Normal"/>
    <w:link w:val="CitaCar"/>
    <w:uiPriority w:val="29"/>
    <w:qFormat/>
    <w:rsid w:val="00B35011"/>
    <w:pPr>
      <w:spacing w:before="160"/>
      <w:ind w:left="720"/>
    </w:pPr>
    <w:rPr>
      <w:rFonts w:asciiTheme="majorHAnsi" w:eastAsiaTheme="majorEastAsia" w:hAnsiTheme="majorHAnsi" w:cstheme="majorBidi"/>
      <w:sz w:val="24"/>
      <w:szCs w:val="24"/>
    </w:rPr>
  </w:style>
  <w:style w:type="character" w:customStyle="1" w:styleId="CitaCar">
    <w:name w:val="Cita Car"/>
    <w:basedOn w:val="Fuentedeprrafopredeter"/>
    <w:link w:val="Cita"/>
    <w:uiPriority w:val="29"/>
    <w:rsid w:val="00B35011"/>
    <w:rPr>
      <w:rFonts w:asciiTheme="majorHAnsi" w:eastAsiaTheme="majorEastAsia" w:hAnsiTheme="majorHAnsi" w:cstheme="majorBidi"/>
      <w:sz w:val="24"/>
      <w:szCs w:val="24"/>
    </w:rPr>
  </w:style>
  <w:style w:type="paragraph" w:styleId="Citadestacada">
    <w:name w:val="Intense Quote"/>
    <w:basedOn w:val="Normal"/>
    <w:next w:val="Normal"/>
    <w:link w:val="CitadestacadaCar"/>
    <w:uiPriority w:val="30"/>
    <w:qFormat/>
    <w:rsid w:val="00B35011"/>
    <w:pPr>
      <w:spacing w:before="100" w:beforeAutospacing="1" w:after="240"/>
      <w:ind w:left="936" w:right="936"/>
    </w:pPr>
    <w:rPr>
      <w:rFonts w:asciiTheme="majorHAnsi" w:eastAsiaTheme="majorEastAsia" w:hAnsiTheme="majorHAnsi" w:cstheme="majorBidi"/>
      <w:caps/>
      <w:color w:val="C45911" w:themeColor="accent2" w:themeShade="BF"/>
      <w:spacing w:val="10"/>
      <w:sz w:val="28"/>
      <w:szCs w:val="28"/>
    </w:rPr>
  </w:style>
  <w:style w:type="character" w:customStyle="1" w:styleId="CitadestacadaCar">
    <w:name w:val="Cita destacada Car"/>
    <w:basedOn w:val="Fuentedeprrafopredeter"/>
    <w:link w:val="Citadestacada"/>
    <w:uiPriority w:val="30"/>
    <w:rsid w:val="00B35011"/>
    <w:rPr>
      <w:rFonts w:asciiTheme="majorHAnsi" w:eastAsiaTheme="majorEastAsia" w:hAnsiTheme="majorHAnsi" w:cstheme="majorBidi"/>
      <w:caps/>
      <w:color w:val="C45911" w:themeColor="accent2" w:themeShade="BF"/>
      <w:spacing w:val="10"/>
      <w:sz w:val="28"/>
      <w:szCs w:val="28"/>
    </w:rPr>
  </w:style>
  <w:style w:type="character" w:styleId="nfasissutil">
    <w:name w:val="Subtle Emphasis"/>
    <w:basedOn w:val="Fuentedeprrafopredeter"/>
    <w:uiPriority w:val="19"/>
    <w:qFormat/>
    <w:rsid w:val="00B35011"/>
    <w:rPr>
      <w:i/>
      <w:iCs/>
      <w:color w:val="auto"/>
    </w:rPr>
  </w:style>
  <w:style w:type="character" w:styleId="nfasisintenso">
    <w:name w:val="Intense Emphasis"/>
    <w:basedOn w:val="Fuentedeprrafopredeter"/>
    <w:uiPriority w:val="21"/>
    <w:qFormat/>
    <w:rsid w:val="00B35011"/>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eferenciasutil">
    <w:name w:val="Subtle Reference"/>
    <w:basedOn w:val="Fuentedeprrafopredeter"/>
    <w:uiPriority w:val="31"/>
    <w:qFormat/>
    <w:rsid w:val="00B3501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enciaintensa">
    <w:name w:val="Intense Reference"/>
    <w:basedOn w:val="Fuentedeprrafopredeter"/>
    <w:uiPriority w:val="32"/>
    <w:qFormat/>
    <w:rsid w:val="00B3501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ellibro">
    <w:name w:val="Book Title"/>
    <w:basedOn w:val="Fuentedeprrafopredeter"/>
    <w:uiPriority w:val="33"/>
    <w:qFormat/>
    <w:rsid w:val="00B35011"/>
    <w:rPr>
      <w:rFonts w:asciiTheme="minorHAnsi" w:eastAsiaTheme="minorEastAsia" w:hAnsiTheme="minorHAnsi" w:cstheme="minorBidi"/>
      <w:b/>
      <w:bCs/>
      <w:i/>
      <w:iCs/>
      <w:caps w:val="0"/>
      <w:smallCaps w:val="0"/>
      <w:color w:val="auto"/>
      <w:spacing w:val="10"/>
      <w:w w:val="100"/>
      <w:sz w:val="20"/>
      <w:szCs w:val="20"/>
    </w:rPr>
  </w:style>
  <w:style w:type="paragraph" w:styleId="TtuloTDC">
    <w:name w:val="TOC Heading"/>
    <w:basedOn w:val="Ttulo1"/>
    <w:next w:val="Normal"/>
    <w:uiPriority w:val="39"/>
    <w:unhideWhenUsed/>
    <w:qFormat/>
    <w:rsid w:val="00B35011"/>
    <w:pPr>
      <w:outlineLvl w:val="9"/>
    </w:pPr>
  </w:style>
  <w:style w:type="paragraph" w:styleId="TDC1">
    <w:name w:val="toc 1"/>
    <w:basedOn w:val="Normal"/>
    <w:next w:val="Normal"/>
    <w:autoRedefine/>
    <w:uiPriority w:val="39"/>
    <w:unhideWhenUsed/>
    <w:rsid w:val="0063188A"/>
    <w:pPr>
      <w:tabs>
        <w:tab w:val="left" w:pos="420"/>
        <w:tab w:val="right" w:leader="dot" w:pos="8828"/>
      </w:tabs>
      <w:spacing w:after="100"/>
      <w:jc w:val="left"/>
    </w:pPr>
  </w:style>
  <w:style w:type="paragraph" w:styleId="TDC2">
    <w:name w:val="toc 2"/>
    <w:basedOn w:val="Normal"/>
    <w:next w:val="Normal"/>
    <w:autoRedefine/>
    <w:uiPriority w:val="39"/>
    <w:semiHidden/>
    <w:unhideWhenUsed/>
    <w:rsid w:val="00162EB6"/>
    <w:pPr>
      <w:spacing w:after="100"/>
      <w:ind w:left="210"/>
    </w:pPr>
  </w:style>
  <w:style w:type="paragraph" w:styleId="TDC3">
    <w:name w:val="toc 3"/>
    <w:basedOn w:val="Normal"/>
    <w:next w:val="Normal"/>
    <w:autoRedefine/>
    <w:uiPriority w:val="39"/>
    <w:semiHidden/>
    <w:unhideWhenUsed/>
    <w:rsid w:val="00162EB6"/>
    <w:pPr>
      <w:spacing w:after="100"/>
      <w:ind w:left="420"/>
    </w:pPr>
  </w:style>
  <w:style w:type="character" w:styleId="Hipervnculo">
    <w:name w:val="Hyperlink"/>
    <w:uiPriority w:val="99"/>
    <w:unhideWhenUsed/>
    <w:rsid w:val="00162EB6"/>
    <w:rPr>
      <w:rFonts w:ascii="Arial Narrow" w:hAnsi="Arial Narrow"/>
      <w:bCs/>
      <w:caps/>
      <w:noProof/>
      <w:color w:val="0000FF"/>
      <w:u w:val="single"/>
      <w:lang w:eastAsia="en-US"/>
    </w:rPr>
  </w:style>
  <w:style w:type="character" w:customStyle="1" w:styleId="PrrafodelistaCar">
    <w:name w:val="Párrafo de lista Car"/>
    <w:aliases w:val="Lista 123 Car,Párrafo de lista numerado Car"/>
    <w:link w:val="Prrafodelista"/>
    <w:uiPriority w:val="34"/>
    <w:locked/>
    <w:rsid w:val="00834D38"/>
  </w:style>
  <w:style w:type="paragraph" w:customStyle="1" w:styleId="Prrafodelista1">
    <w:name w:val="Párrafo de lista1"/>
    <w:basedOn w:val="Normal"/>
    <w:uiPriority w:val="34"/>
    <w:qFormat/>
    <w:rsid w:val="00834D38"/>
    <w:pPr>
      <w:spacing w:after="0"/>
      <w:ind w:left="720"/>
      <w:jc w:val="left"/>
    </w:pPr>
    <w:rPr>
      <w:rFonts w:ascii="Times New Roman" w:eastAsia="Times New Roman" w:hAnsi="Times New Roman" w:cs="Times New Roman"/>
      <w:sz w:val="24"/>
      <w:szCs w:val="24"/>
      <w:lang w:val="es-DO" w:eastAsia="es-ES"/>
    </w:rPr>
  </w:style>
  <w:style w:type="paragraph" w:customStyle="1" w:styleId="Default">
    <w:name w:val="Default"/>
    <w:rsid w:val="00A231AA"/>
    <w:pPr>
      <w:autoSpaceDE w:val="0"/>
      <w:autoSpaceDN w:val="0"/>
      <w:adjustRightInd w:val="0"/>
      <w:spacing w:after="0"/>
      <w:jc w:val="left"/>
    </w:pPr>
    <w:rPr>
      <w:rFonts w:ascii="Verdana" w:hAnsi="Verdana" w:cs="Verdana"/>
      <w:color w:val="000000"/>
      <w:sz w:val="24"/>
      <w:szCs w:val="24"/>
      <w:lang w:val="es-DO"/>
    </w:rPr>
  </w:style>
  <w:style w:type="paragraph" w:styleId="NormalWeb">
    <w:name w:val="Normal (Web)"/>
    <w:basedOn w:val="Normal"/>
    <w:uiPriority w:val="99"/>
    <w:semiHidden/>
    <w:unhideWhenUsed/>
    <w:rsid w:val="00ED25FE"/>
    <w:pPr>
      <w:spacing w:before="100" w:beforeAutospacing="1" w:after="100" w:afterAutospacing="1"/>
      <w:jc w:val="left"/>
    </w:pPr>
    <w:rPr>
      <w:rFonts w:ascii="Times New Roman" w:eastAsia="Times New Roman" w:hAnsi="Times New Roman" w:cs="Times New Roman"/>
      <w:sz w:val="24"/>
      <w:szCs w:val="24"/>
      <w:lang w:val="es-DO"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4984">
      <w:bodyDiv w:val="1"/>
      <w:marLeft w:val="0"/>
      <w:marRight w:val="0"/>
      <w:marTop w:val="0"/>
      <w:marBottom w:val="0"/>
      <w:divBdr>
        <w:top w:val="none" w:sz="0" w:space="0" w:color="auto"/>
        <w:left w:val="none" w:sz="0" w:space="0" w:color="auto"/>
        <w:bottom w:val="none" w:sz="0" w:space="0" w:color="auto"/>
        <w:right w:val="none" w:sz="0" w:space="0" w:color="auto"/>
      </w:divBdr>
    </w:div>
    <w:div w:id="150753427">
      <w:bodyDiv w:val="1"/>
      <w:marLeft w:val="0"/>
      <w:marRight w:val="0"/>
      <w:marTop w:val="0"/>
      <w:marBottom w:val="0"/>
      <w:divBdr>
        <w:top w:val="none" w:sz="0" w:space="0" w:color="auto"/>
        <w:left w:val="none" w:sz="0" w:space="0" w:color="auto"/>
        <w:bottom w:val="none" w:sz="0" w:space="0" w:color="auto"/>
        <w:right w:val="none" w:sz="0" w:space="0" w:color="auto"/>
      </w:divBdr>
    </w:div>
    <w:div w:id="459307355">
      <w:bodyDiv w:val="1"/>
      <w:marLeft w:val="0"/>
      <w:marRight w:val="0"/>
      <w:marTop w:val="0"/>
      <w:marBottom w:val="0"/>
      <w:divBdr>
        <w:top w:val="none" w:sz="0" w:space="0" w:color="auto"/>
        <w:left w:val="none" w:sz="0" w:space="0" w:color="auto"/>
        <w:bottom w:val="none" w:sz="0" w:space="0" w:color="auto"/>
        <w:right w:val="none" w:sz="0" w:space="0" w:color="auto"/>
      </w:divBdr>
    </w:div>
    <w:div w:id="559052071">
      <w:bodyDiv w:val="1"/>
      <w:marLeft w:val="0"/>
      <w:marRight w:val="0"/>
      <w:marTop w:val="0"/>
      <w:marBottom w:val="0"/>
      <w:divBdr>
        <w:top w:val="none" w:sz="0" w:space="0" w:color="auto"/>
        <w:left w:val="none" w:sz="0" w:space="0" w:color="auto"/>
        <w:bottom w:val="none" w:sz="0" w:space="0" w:color="auto"/>
        <w:right w:val="none" w:sz="0" w:space="0" w:color="auto"/>
      </w:divBdr>
    </w:div>
    <w:div w:id="563494631">
      <w:bodyDiv w:val="1"/>
      <w:marLeft w:val="0"/>
      <w:marRight w:val="0"/>
      <w:marTop w:val="0"/>
      <w:marBottom w:val="0"/>
      <w:divBdr>
        <w:top w:val="none" w:sz="0" w:space="0" w:color="auto"/>
        <w:left w:val="none" w:sz="0" w:space="0" w:color="auto"/>
        <w:bottom w:val="none" w:sz="0" w:space="0" w:color="auto"/>
        <w:right w:val="none" w:sz="0" w:space="0" w:color="auto"/>
      </w:divBdr>
    </w:div>
    <w:div w:id="567573682">
      <w:bodyDiv w:val="1"/>
      <w:marLeft w:val="0"/>
      <w:marRight w:val="0"/>
      <w:marTop w:val="0"/>
      <w:marBottom w:val="0"/>
      <w:divBdr>
        <w:top w:val="none" w:sz="0" w:space="0" w:color="auto"/>
        <w:left w:val="none" w:sz="0" w:space="0" w:color="auto"/>
        <w:bottom w:val="none" w:sz="0" w:space="0" w:color="auto"/>
        <w:right w:val="none" w:sz="0" w:space="0" w:color="auto"/>
      </w:divBdr>
      <w:divsChild>
        <w:div w:id="1506281462">
          <w:marLeft w:val="1080"/>
          <w:marRight w:val="0"/>
          <w:marTop w:val="100"/>
          <w:marBottom w:val="0"/>
          <w:divBdr>
            <w:top w:val="none" w:sz="0" w:space="0" w:color="auto"/>
            <w:left w:val="none" w:sz="0" w:space="0" w:color="auto"/>
            <w:bottom w:val="none" w:sz="0" w:space="0" w:color="auto"/>
            <w:right w:val="none" w:sz="0" w:space="0" w:color="auto"/>
          </w:divBdr>
        </w:div>
        <w:div w:id="764614514">
          <w:marLeft w:val="1080"/>
          <w:marRight w:val="0"/>
          <w:marTop w:val="100"/>
          <w:marBottom w:val="0"/>
          <w:divBdr>
            <w:top w:val="none" w:sz="0" w:space="0" w:color="auto"/>
            <w:left w:val="none" w:sz="0" w:space="0" w:color="auto"/>
            <w:bottom w:val="none" w:sz="0" w:space="0" w:color="auto"/>
            <w:right w:val="none" w:sz="0" w:space="0" w:color="auto"/>
          </w:divBdr>
        </w:div>
        <w:div w:id="13045111">
          <w:marLeft w:val="1080"/>
          <w:marRight w:val="0"/>
          <w:marTop w:val="100"/>
          <w:marBottom w:val="0"/>
          <w:divBdr>
            <w:top w:val="none" w:sz="0" w:space="0" w:color="auto"/>
            <w:left w:val="none" w:sz="0" w:space="0" w:color="auto"/>
            <w:bottom w:val="none" w:sz="0" w:space="0" w:color="auto"/>
            <w:right w:val="none" w:sz="0" w:space="0" w:color="auto"/>
          </w:divBdr>
        </w:div>
        <w:div w:id="1673486594">
          <w:marLeft w:val="1080"/>
          <w:marRight w:val="0"/>
          <w:marTop w:val="100"/>
          <w:marBottom w:val="0"/>
          <w:divBdr>
            <w:top w:val="none" w:sz="0" w:space="0" w:color="auto"/>
            <w:left w:val="none" w:sz="0" w:space="0" w:color="auto"/>
            <w:bottom w:val="none" w:sz="0" w:space="0" w:color="auto"/>
            <w:right w:val="none" w:sz="0" w:space="0" w:color="auto"/>
          </w:divBdr>
        </w:div>
      </w:divsChild>
    </w:div>
    <w:div w:id="605305432">
      <w:bodyDiv w:val="1"/>
      <w:marLeft w:val="0"/>
      <w:marRight w:val="0"/>
      <w:marTop w:val="0"/>
      <w:marBottom w:val="0"/>
      <w:divBdr>
        <w:top w:val="none" w:sz="0" w:space="0" w:color="auto"/>
        <w:left w:val="none" w:sz="0" w:space="0" w:color="auto"/>
        <w:bottom w:val="none" w:sz="0" w:space="0" w:color="auto"/>
        <w:right w:val="none" w:sz="0" w:space="0" w:color="auto"/>
      </w:divBdr>
    </w:div>
    <w:div w:id="616453930">
      <w:bodyDiv w:val="1"/>
      <w:marLeft w:val="0"/>
      <w:marRight w:val="0"/>
      <w:marTop w:val="0"/>
      <w:marBottom w:val="0"/>
      <w:divBdr>
        <w:top w:val="none" w:sz="0" w:space="0" w:color="auto"/>
        <w:left w:val="none" w:sz="0" w:space="0" w:color="auto"/>
        <w:bottom w:val="none" w:sz="0" w:space="0" w:color="auto"/>
        <w:right w:val="none" w:sz="0" w:space="0" w:color="auto"/>
      </w:divBdr>
      <w:divsChild>
        <w:div w:id="540241226">
          <w:marLeft w:val="360"/>
          <w:marRight w:val="0"/>
          <w:marTop w:val="200"/>
          <w:marBottom w:val="0"/>
          <w:divBdr>
            <w:top w:val="none" w:sz="0" w:space="0" w:color="auto"/>
            <w:left w:val="none" w:sz="0" w:space="0" w:color="auto"/>
            <w:bottom w:val="none" w:sz="0" w:space="0" w:color="auto"/>
            <w:right w:val="none" w:sz="0" w:space="0" w:color="auto"/>
          </w:divBdr>
        </w:div>
        <w:div w:id="1088038008">
          <w:marLeft w:val="360"/>
          <w:marRight w:val="0"/>
          <w:marTop w:val="200"/>
          <w:marBottom w:val="0"/>
          <w:divBdr>
            <w:top w:val="none" w:sz="0" w:space="0" w:color="auto"/>
            <w:left w:val="none" w:sz="0" w:space="0" w:color="auto"/>
            <w:bottom w:val="none" w:sz="0" w:space="0" w:color="auto"/>
            <w:right w:val="none" w:sz="0" w:space="0" w:color="auto"/>
          </w:divBdr>
        </w:div>
      </w:divsChild>
    </w:div>
    <w:div w:id="683357594">
      <w:bodyDiv w:val="1"/>
      <w:marLeft w:val="0"/>
      <w:marRight w:val="0"/>
      <w:marTop w:val="0"/>
      <w:marBottom w:val="0"/>
      <w:divBdr>
        <w:top w:val="none" w:sz="0" w:space="0" w:color="auto"/>
        <w:left w:val="none" w:sz="0" w:space="0" w:color="auto"/>
        <w:bottom w:val="none" w:sz="0" w:space="0" w:color="auto"/>
        <w:right w:val="none" w:sz="0" w:space="0" w:color="auto"/>
      </w:divBdr>
      <w:divsChild>
        <w:div w:id="1208563351">
          <w:marLeft w:val="360"/>
          <w:marRight w:val="0"/>
          <w:marTop w:val="200"/>
          <w:marBottom w:val="0"/>
          <w:divBdr>
            <w:top w:val="none" w:sz="0" w:space="0" w:color="auto"/>
            <w:left w:val="none" w:sz="0" w:space="0" w:color="auto"/>
            <w:bottom w:val="none" w:sz="0" w:space="0" w:color="auto"/>
            <w:right w:val="none" w:sz="0" w:space="0" w:color="auto"/>
          </w:divBdr>
        </w:div>
        <w:div w:id="202526456">
          <w:marLeft w:val="1080"/>
          <w:marRight w:val="0"/>
          <w:marTop w:val="100"/>
          <w:marBottom w:val="0"/>
          <w:divBdr>
            <w:top w:val="none" w:sz="0" w:space="0" w:color="auto"/>
            <w:left w:val="none" w:sz="0" w:space="0" w:color="auto"/>
            <w:bottom w:val="none" w:sz="0" w:space="0" w:color="auto"/>
            <w:right w:val="none" w:sz="0" w:space="0" w:color="auto"/>
          </w:divBdr>
        </w:div>
        <w:div w:id="200634037">
          <w:marLeft w:val="1080"/>
          <w:marRight w:val="0"/>
          <w:marTop w:val="100"/>
          <w:marBottom w:val="0"/>
          <w:divBdr>
            <w:top w:val="none" w:sz="0" w:space="0" w:color="auto"/>
            <w:left w:val="none" w:sz="0" w:space="0" w:color="auto"/>
            <w:bottom w:val="none" w:sz="0" w:space="0" w:color="auto"/>
            <w:right w:val="none" w:sz="0" w:space="0" w:color="auto"/>
          </w:divBdr>
        </w:div>
        <w:div w:id="85656193">
          <w:marLeft w:val="1080"/>
          <w:marRight w:val="0"/>
          <w:marTop w:val="100"/>
          <w:marBottom w:val="0"/>
          <w:divBdr>
            <w:top w:val="none" w:sz="0" w:space="0" w:color="auto"/>
            <w:left w:val="none" w:sz="0" w:space="0" w:color="auto"/>
            <w:bottom w:val="none" w:sz="0" w:space="0" w:color="auto"/>
            <w:right w:val="none" w:sz="0" w:space="0" w:color="auto"/>
          </w:divBdr>
        </w:div>
      </w:divsChild>
    </w:div>
    <w:div w:id="688413283">
      <w:bodyDiv w:val="1"/>
      <w:marLeft w:val="0"/>
      <w:marRight w:val="0"/>
      <w:marTop w:val="0"/>
      <w:marBottom w:val="0"/>
      <w:divBdr>
        <w:top w:val="none" w:sz="0" w:space="0" w:color="auto"/>
        <w:left w:val="none" w:sz="0" w:space="0" w:color="auto"/>
        <w:bottom w:val="none" w:sz="0" w:space="0" w:color="auto"/>
        <w:right w:val="none" w:sz="0" w:space="0" w:color="auto"/>
      </w:divBdr>
    </w:div>
    <w:div w:id="763721041">
      <w:bodyDiv w:val="1"/>
      <w:marLeft w:val="0"/>
      <w:marRight w:val="0"/>
      <w:marTop w:val="0"/>
      <w:marBottom w:val="0"/>
      <w:divBdr>
        <w:top w:val="none" w:sz="0" w:space="0" w:color="auto"/>
        <w:left w:val="none" w:sz="0" w:space="0" w:color="auto"/>
        <w:bottom w:val="none" w:sz="0" w:space="0" w:color="auto"/>
        <w:right w:val="none" w:sz="0" w:space="0" w:color="auto"/>
      </w:divBdr>
    </w:div>
    <w:div w:id="888029374">
      <w:bodyDiv w:val="1"/>
      <w:marLeft w:val="0"/>
      <w:marRight w:val="0"/>
      <w:marTop w:val="0"/>
      <w:marBottom w:val="0"/>
      <w:divBdr>
        <w:top w:val="none" w:sz="0" w:space="0" w:color="auto"/>
        <w:left w:val="none" w:sz="0" w:space="0" w:color="auto"/>
        <w:bottom w:val="none" w:sz="0" w:space="0" w:color="auto"/>
        <w:right w:val="none" w:sz="0" w:space="0" w:color="auto"/>
      </w:divBdr>
    </w:div>
    <w:div w:id="1008408882">
      <w:bodyDiv w:val="1"/>
      <w:marLeft w:val="0"/>
      <w:marRight w:val="0"/>
      <w:marTop w:val="0"/>
      <w:marBottom w:val="0"/>
      <w:divBdr>
        <w:top w:val="none" w:sz="0" w:space="0" w:color="auto"/>
        <w:left w:val="none" w:sz="0" w:space="0" w:color="auto"/>
        <w:bottom w:val="none" w:sz="0" w:space="0" w:color="auto"/>
        <w:right w:val="none" w:sz="0" w:space="0" w:color="auto"/>
      </w:divBdr>
    </w:div>
    <w:div w:id="1038503528">
      <w:bodyDiv w:val="1"/>
      <w:marLeft w:val="0"/>
      <w:marRight w:val="0"/>
      <w:marTop w:val="0"/>
      <w:marBottom w:val="0"/>
      <w:divBdr>
        <w:top w:val="none" w:sz="0" w:space="0" w:color="auto"/>
        <w:left w:val="none" w:sz="0" w:space="0" w:color="auto"/>
        <w:bottom w:val="none" w:sz="0" w:space="0" w:color="auto"/>
        <w:right w:val="none" w:sz="0" w:space="0" w:color="auto"/>
      </w:divBdr>
      <w:divsChild>
        <w:div w:id="1953241341">
          <w:marLeft w:val="360"/>
          <w:marRight w:val="0"/>
          <w:marTop w:val="200"/>
          <w:marBottom w:val="0"/>
          <w:divBdr>
            <w:top w:val="none" w:sz="0" w:space="0" w:color="auto"/>
            <w:left w:val="none" w:sz="0" w:space="0" w:color="auto"/>
            <w:bottom w:val="none" w:sz="0" w:space="0" w:color="auto"/>
            <w:right w:val="none" w:sz="0" w:space="0" w:color="auto"/>
          </w:divBdr>
        </w:div>
      </w:divsChild>
    </w:div>
    <w:div w:id="1060129131">
      <w:bodyDiv w:val="1"/>
      <w:marLeft w:val="0"/>
      <w:marRight w:val="0"/>
      <w:marTop w:val="0"/>
      <w:marBottom w:val="0"/>
      <w:divBdr>
        <w:top w:val="none" w:sz="0" w:space="0" w:color="auto"/>
        <w:left w:val="none" w:sz="0" w:space="0" w:color="auto"/>
        <w:bottom w:val="none" w:sz="0" w:space="0" w:color="auto"/>
        <w:right w:val="none" w:sz="0" w:space="0" w:color="auto"/>
      </w:divBdr>
    </w:div>
    <w:div w:id="1128160531">
      <w:bodyDiv w:val="1"/>
      <w:marLeft w:val="0"/>
      <w:marRight w:val="0"/>
      <w:marTop w:val="0"/>
      <w:marBottom w:val="0"/>
      <w:divBdr>
        <w:top w:val="none" w:sz="0" w:space="0" w:color="auto"/>
        <w:left w:val="none" w:sz="0" w:space="0" w:color="auto"/>
        <w:bottom w:val="none" w:sz="0" w:space="0" w:color="auto"/>
        <w:right w:val="none" w:sz="0" w:space="0" w:color="auto"/>
      </w:divBdr>
    </w:div>
    <w:div w:id="1225411367">
      <w:bodyDiv w:val="1"/>
      <w:marLeft w:val="0"/>
      <w:marRight w:val="0"/>
      <w:marTop w:val="0"/>
      <w:marBottom w:val="0"/>
      <w:divBdr>
        <w:top w:val="none" w:sz="0" w:space="0" w:color="auto"/>
        <w:left w:val="none" w:sz="0" w:space="0" w:color="auto"/>
        <w:bottom w:val="none" w:sz="0" w:space="0" w:color="auto"/>
        <w:right w:val="none" w:sz="0" w:space="0" w:color="auto"/>
      </w:divBdr>
    </w:div>
    <w:div w:id="1244728833">
      <w:bodyDiv w:val="1"/>
      <w:marLeft w:val="0"/>
      <w:marRight w:val="0"/>
      <w:marTop w:val="0"/>
      <w:marBottom w:val="0"/>
      <w:divBdr>
        <w:top w:val="none" w:sz="0" w:space="0" w:color="auto"/>
        <w:left w:val="none" w:sz="0" w:space="0" w:color="auto"/>
        <w:bottom w:val="none" w:sz="0" w:space="0" w:color="auto"/>
        <w:right w:val="none" w:sz="0" w:space="0" w:color="auto"/>
      </w:divBdr>
    </w:div>
    <w:div w:id="1370298184">
      <w:bodyDiv w:val="1"/>
      <w:marLeft w:val="0"/>
      <w:marRight w:val="0"/>
      <w:marTop w:val="0"/>
      <w:marBottom w:val="0"/>
      <w:divBdr>
        <w:top w:val="none" w:sz="0" w:space="0" w:color="auto"/>
        <w:left w:val="none" w:sz="0" w:space="0" w:color="auto"/>
        <w:bottom w:val="none" w:sz="0" w:space="0" w:color="auto"/>
        <w:right w:val="none" w:sz="0" w:space="0" w:color="auto"/>
      </w:divBdr>
      <w:divsChild>
        <w:div w:id="979573677">
          <w:marLeft w:val="360"/>
          <w:marRight w:val="0"/>
          <w:marTop w:val="200"/>
          <w:marBottom w:val="0"/>
          <w:divBdr>
            <w:top w:val="none" w:sz="0" w:space="0" w:color="auto"/>
            <w:left w:val="none" w:sz="0" w:space="0" w:color="auto"/>
            <w:bottom w:val="none" w:sz="0" w:space="0" w:color="auto"/>
            <w:right w:val="none" w:sz="0" w:space="0" w:color="auto"/>
          </w:divBdr>
        </w:div>
        <w:div w:id="1401057019">
          <w:marLeft w:val="1080"/>
          <w:marRight w:val="0"/>
          <w:marTop w:val="100"/>
          <w:marBottom w:val="0"/>
          <w:divBdr>
            <w:top w:val="none" w:sz="0" w:space="0" w:color="auto"/>
            <w:left w:val="none" w:sz="0" w:space="0" w:color="auto"/>
            <w:bottom w:val="none" w:sz="0" w:space="0" w:color="auto"/>
            <w:right w:val="none" w:sz="0" w:space="0" w:color="auto"/>
          </w:divBdr>
        </w:div>
        <w:div w:id="316106801">
          <w:marLeft w:val="1080"/>
          <w:marRight w:val="0"/>
          <w:marTop w:val="100"/>
          <w:marBottom w:val="0"/>
          <w:divBdr>
            <w:top w:val="none" w:sz="0" w:space="0" w:color="auto"/>
            <w:left w:val="none" w:sz="0" w:space="0" w:color="auto"/>
            <w:bottom w:val="none" w:sz="0" w:space="0" w:color="auto"/>
            <w:right w:val="none" w:sz="0" w:space="0" w:color="auto"/>
          </w:divBdr>
        </w:div>
        <w:div w:id="2114930989">
          <w:marLeft w:val="1080"/>
          <w:marRight w:val="0"/>
          <w:marTop w:val="100"/>
          <w:marBottom w:val="0"/>
          <w:divBdr>
            <w:top w:val="none" w:sz="0" w:space="0" w:color="auto"/>
            <w:left w:val="none" w:sz="0" w:space="0" w:color="auto"/>
            <w:bottom w:val="none" w:sz="0" w:space="0" w:color="auto"/>
            <w:right w:val="none" w:sz="0" w:space="0" w:color="auto"/>
          </w:divBdr>
        </w:div>
      </w:divsChild>
    </w:div>
    <w:div w:id="1370687552">
      <w:bodyDiv w:val="1"/>
      <w:marLeft w:val="0"/>
      <w:marRight w:val="0"/>
      <w:marTop w:val="0"/>
      <w:marBottom w:val="0"/>
      <w:divBdr>
        <w:top w:val="none" w:sz="0" w:space="0" w:color="auto"/>
        <w:left w:val="none" w:sz="0" w:space="0" w:color="auto"/>
        <w:bottom w:val="none" w:sz="0" w:space="0" w:color="auto"/>
        <w:right w:val="none" w:sz="0" w:space="0" w:color="auto"/>
      </w:divBdr>
    </w:div>
    <w:div w:id="1395883969">
      <w:bodyDiv w:val="1"/>
      <w:marLeft w:val="0"/>
      <w:marRight w:val="0"/>
      <w:marTop w:val="0"/>
      <w:marBottom w:val="0"/>
      <w:divBdr>
        <w:top w:val="none" w:sz="0" w:space="0" w:color="auto"/>
        <w:left w:val="none" w:sz="0" w:space="0" w:color="auto"/>
        <w:bottom w:val="none" w:sz="0" w:space="0" w:color="auto"/>
        <w:right w:val="none" w:sz="0" w:space="0" w:color="auto"/>
      </w:divBdr>
    </w:div>
    <w:div w:id="1461262865">
      <w:bodyDiv w:val="1"/>
      <w:marLeft w:val="0"/>
      <w:marRight w:val="0"/>
      <w:marTop w:val="0"/>
      <w:marBottom w:val="0"/>
      <w:divBdr>
        <w:top w:val="none" w:sz="0" w:space="0" w:color="auto"/>
        <w:left w:val="none" w:sz="0" w:space="0" w:color="auto"/>
        <w:bottom w:val="none" w:sz="0" w:space="0" w:color="auto"/>
        <w:right w:val="none" w:sz="0" w:space="0" w:color="auto"/>
      </w:divBdr>
    </w:div>
    <w:div w:id="1499887670">
      <w:bodyDiv w:val="1"/>
      <w:marLeft w:val="0"/>
      <w:marRight w:val="0"/>
      <w:marTop w:val="0"/>
      <w:marBottom w:val="0"/>
      <w:divBdr>
        <w:top w:val="none" w:sz="0" w:space="0" w:color="auto"/>
        <w:left w:val="none" w:sz="0" w:space="0" w:color="auto"/>
        <w:bottom w:val="none" w:sz="0" w:space="0" w:color="auto"/>
        <w:right w:val="none" w:sz="0" w:space="0" w:color="auto"/>
      </w:divBdr>
      <w:divsChild>
        <w:div w:id="1733576087">
          <w:marLeft w:val="360"/>
          <w:marRight w:val="0"/>
          <w:marTop w:val="200"/>
          <w:marBottom w:val="0"/>
          <w:divBdr>
            <w:top w:val="none" w:sz="0" w:space="0" w:color="auto"/>
            <w:left w:val="none" w:sz="0" w:space="0" w:color="auto"/>
            <w:bottom w:val="none" w:sz="0" w:space="0" w:color="auto"/>
            <w:right w:val="none" w:sz="0" w:space="0" w:color="auto"/>
          </w:divBdr>
        </w:div>
        <w:div w:id="823930035">
          <w:marLeft w:val="1080"/>
          <w:marRight w:val="0"/>
          <w:marTop w:val="100"/>
          <w:marBottom w:val="0"/>
          <w:divBdr>
            <w:top w:val="none" w:sz="0" w:space="0" w:color="auto"/>
            <w:left w:val="none" w:sz="0" w:space="0" w:color="auto"/>
            <w:bottom w:val="none" w:sz="0" w:space="0" w:color="auto"/>
            <w:right w:val="none" w:sz="0" w:space="0" w:color="auto"/>
          </w:divBdr>
        </w:div>
        <w:div w:id="478573868">
          <w:marLeft w:val="1080"/>
          <w:marRight w:val="0"/>
          <w:marTop w:val="100"/>
          <w:marBottom w:val="0"/>
          <w:divBdr>
            <w:top w:val="none" w:sz="0" w:space="0" w:color="auto"/>
            <w:left w:val="none" w:sz="0" w:space="0" w:color="auto"/>
            <w:bottom w:val="none" w:sz="0" w:space="0" w:color="auto"/>
            <w:right w:val="none" w:sz="0" w:space="0" w:color="auto"/>
          </w:divBdr>
        </w:div>
        <w:div w:id="1781727424">
          <w:marLeft w:val="1080"/>
          <w:marRight w:val="0"/>
          <w:marTop w:val="100"/>
          <w:marBottom w:val="0"/>
          <w:divBdr>
            <w:top w:val="none" w:sz="0" w:space="0" w:color="auto"/>
            <w:left w:val="none" w:sz="0" w:space="0" w:color="auto"/>
            <w:bottom w:val="none" w:sz="0" w:space="0" w:color="auto"/>
            <w:right w:val="none" w:sz="0" w:space="0" w:color="auto"/>
          </w:divBdr>
        </w:div>
        <w:div w:id="429544379">
          <w:marLeft w:val="1080"/>
          <w:marRight w:val="0"/>
          <w:marTop w:val="100"/>
          <w:marBottom w:val="0"/>
          <w:divBdr>
            <w:top w:val="none" w:sz="0" w:space="0" w:color="auto"/>
            <w:left w:val="none" w:sz="0" w:space="0" w:color="auto"/>
            <w:bottom w:val="none" w:sz="0" w:space="0" w:color="auto"/>
            <w:right w:val="none" w:sz="0" w:space="0" w:color="auto"/>
          </w:divBdr>
        </w:div>
      </w:divsChild>
    </w:div>
    <w:div w:id="1535534602">
      <w:bodyDiv w:val="1"/>
      <w:marLeft w:val="0"/>
      <w:marRight w:val="0"/>
      <w:marTop w:val="0"/>
      <w:marBottom w:val="0"/>
      <w:divBdr>
        <w:top w:val="none" w:sz="0" w:space="0" w:color="auto"/>
        <w:left w:val="none" w:sz="0" w:space="0" w:color="auto"/>
        <w:bottom w:val="none" w:sz="0" w:space="0" w:color="auto"/>
        <w:right w:val="none" w:sz="0" w:space="0" w:color="auto"/>
      </w:divBdr>
    </w:div>
    <w:div w:id="1551644783">
      <w:bodyDiv w:val="1"/>
      <w:marLeft w:val="0"/>
      <w:marRight w:val="0"/>
      <w:marTop w:val="0"/>
      <w:marBottom w:val="0"/>
      <w:divBdr>
        <w:top w:val="none" w:sz="0" w:space="0" w:color="auto"/>
        <w:left w:val="none" w:sz="0" w:space="0" w:color="auto"/>
        <w:bottom w:val="none" w:sz="0" w:space="0" w:color="auto"/>
        <w:right w:val="none" w:sz="0" w:space="0" w:color="auto"/>
      </w:divBdr>
    </w:div>
    <w:div w:id="1589384123">
      <w:bodyDiv w:val="1"/>
      <w:marLeft w:val="0"/>
      <w:marRight w:val="0"/>
      <w:marTop w:val="0"/>
      <w:marBottom w:val="0"/>
      <w:divBdr>
        <w:top w:val="none" w:sz="0" w:space="0" w:color="auto"/>
        <w:left w:val="none" w:sz="0" w:space="0" w:color="auto"/>
        <w:bottom w:val="none" w:sz="0" w:space="0" w:color="auto"/>
        <w:right w:val="none" w:sz="0" w:space="0" w:color="auto"/>
      </w:divBdr>
    </w:div>
    <w:div w:id="1678540147">
      <w:bodyDiv w:val="1"/>
      <w:marLeft w:val="0"/>
      <w:marRight w:val="0"/>
      <w:marTop w:val="0"/>
      <w:marBottom w:val="0"/>
      <w:divBdr>
        <w:top w:val="none" w:sz="0" w:space="0" w:color="auto"/>
        <w:left w:val="none" w:sz="0" w:space="0" w:color="auto"/>
        <w:bottom w:val="none" w:sz="0" w:space="0" w:color="auto"/>
        <w:right w:val="none" w:sz="0" w:space="0" w:color="auto"/>
      </w:divBdr>
    </w:div>
    <w:div w:id="1713116465">
      <w:bodyDiv w:val="1"/>
      <w:marLeft w:val="0"/>
      <w:marRight w:val="0"/>
      <w:marTop w:val="0"/>
      <w:marBottom w:val="0"/>
      <w:divBdr>
        <w:top w:val="none" w:sz="0" w:space="0" w:color="auto"/>
        <w:left w:val="none" w:sz="0" w:space="0" w:color="auto"/>
        <w:bottom w:val="none" w:sz="0" w:space="0" w:color="auto"/>
        <w:right w:val="none" w:sz="0" w:space="0" w:color="auto"/>
      </w:divBdr>
    </w:div>
    <w:div w:id="1728529452">
      <w:bodyDiv w:val="1"/>
      <w:marLeft w:val="0"/>
      <w:marRight w:val="0"/>
      <w:marTop w:val="0"/>
      <w:marBottom w:val="0"/>
      <w:divBdr>
        <w:top w:val="none" w:sz="0" w:space="0" w:color="auto"/>
        <w:left w:val="none" w:sz="0" w:space="0" w:color="auto"/>
        <w:bottom w:val="none" w:sz="0" w:space="0" w:color="auto"/>
        <w:right w:val="none" w:sz="0" w:space="0" w:color="auto"/>
      </w:divBdr>
    </w:div>
    <w:div w:id="1915971345">
      <w:bodyDiv w:val="1"/>
      <w:marLeft w:val="0"/>
      <w:marRight w:val="0"/>
      <w:marTop w:val="0"/>
      <w:marBottom w:val="0"/>
      <w:divBdr>
        <w:top w:val="none" w:sz="0" w:space="0" w:color="auto"/>
        <w:left w:val="none" w:sz="0" w:space="0" w:color="auto"/>
        <w:bottom w:val="none" w:sz="0" w:space="0" w:color="auto"/>
        <w:right w:val="none" w:sz="0" w:space="0" w:color="auto"/>
      </w:divBdr>
    </w:div>
    <w:div w:id="1931350537">
      <w:bodyDiv w:val="1"/>
      <w:marLeft w:val="0"/>
      <w:marRight w:val="0"/>
      <w:marTop w:val="0"/>
      <w:marBottom w:val="0"/>
      <w:divBdr>
        <w:top w:val="none" w:sz="0" w:space="0" w:color="auto"/>
        <w:left w:val="none" w:sz="0" w:space="0" w:color="auto"/>
        <w:bottom w:val="none" w:sz="0" w:space="0" w:color="auto"/>
        <w:right w:val="none" w:sz="0" w:space="0" w:color="auto"/>
      </w:divBdr>
      <w:divsChild>
        <w:div w:id="1266231998">
          <w:marLeft w:val="360"/>
          <w:marRight w:val="0"/>
          <w:marTop w:val="200"/>
          <w:marBottom w:val="0"/>
          <w:divBdr>
            <w:top w:val="none" w:sz="0" w:space="0" w:color="auto"/>
            <w:left w:val="none" w:sz="0" w:space="0" w:color="auto"/>
            <w:bottom w:val="none" w:sz="0" w:space="0" w:color="auto"/>
            <w:right w:val="none" w:sz="0" w:space="0" w:color="auto"/>
          </w:divBdr>
        </w:div>
        <w:div w:id="1972321180">
          <w:marLeft w:val="360"/>
          <w:marRight w:val="0"/>
          <w:marTop w:val="200"/>
          <w:marBottom w:val="0"/>
          <w:divBdr>
            <w:top w:val="none" w:sz="0" w:space="0" w:color="auto"/>
            <w:left w:val="none" w:sz="0" w:space="0" w:color="auto"/>
            <w:bottom w:val="none" w:sz="0" w:space="0" w:color="auto"/>
            <w:right w:val="none" w:sz="0" w:space="0" w:color="auto"/>
          </w:divBdr>
        </w:div>
        <w:div w:id="1011369224">
          <w:marLeft w:val="360"/>
          <w:marRight w:val="0"/>
          <w:marTop w:val="200"/>
          <w:marBottom w:val="0"/>
          <w:divBdr>
            <w:top w:val="none" w:sz="0" w:space="0" w:color="auto"/>
            <w:left w:val="none" w:sz="0" w:space="0" w:color="auto"/>
            <w:bottom w:val="none" w:sz="0" w:space="0" w:color="auto"/>
            <w:right w:val="none" w:sz="0" w:space="0" w:color="auto"/>
          </w:divBdr>
        </w:div>
      </w:divsChild>
    </w:div>
    <w:div w:id="1946420619">
      <w:bodyDiv w:val="1"/>
      <w:marLeft w:val="0"/>
      <w:marRight w:val="0"/>
      <w:marTop w:val="0"/>
      <w:marBottom w:val="0"/>
      <w:divBdr>
        <w:top w:val="none" w:sz="0" w:space="0" w:color="auto"/>
        <w:left w:val="none" w:sz="0" w:space="0" w:color="auto"/>
        <w:bottom w:val="none" w:sz="0" w:space="0" w:color="auto"/>
        <w:right w:val="none" w:sz="0" w:space="0" w:color="auto"/>
      </w:divBdr>
    </w:div>
    <w:div w:id="1978802042">
      <w:bodyDiv w:val="1"/>
      <w:marLeft w:val="0"/>
      <w:marRight w:val="0"/>
      <w:marTop w:val="0"/>
      <w:marBottom w:val="0"/>
      <w:divBdr>
        <w:top w:val="none" w:sz="0" w:space="0" w:color="auto"/>
        <w:left w:val="none" w:sz="0" w:space="0" w:color="auto"/>
        <w:bottom w:val="none" w:sz="0" w:space="0" w:color="auto"/>
        <w:right w:val="none" w:sz="0" w:space="0" w:color="auto"/>
      </w:divBdr>
    </w:div>
    <w:div w:id="1998338946">
      <w:bodyDiv w:val="1"/>
      <w:marLeft w:val="0"/>
      <w:marRight w:val="0"/>
      <w:marTop w:val="0"/>
      <w:marBottom w:val="0"/>
      <w:divBdr>
        <w:top w:val="none" w:sz="0" w:space="0" w:color="auto"/>
        <w:left w:val="none" w:sz="0" w:space="0" w:color="auto"/>
        <w:bottom w:val="none" w:sz="0" w:space="0" w:color="auto"/>
        <w:right w:val="none" w:sz="0" w:space="0" w:color="auto"/>
      </w:divBdr>
    </w:div>
    <w:div w:id="20050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orde con band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B71EC-3D3E-4DC3-AE99-C5478C52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5654</TotalTime>
  <Pages>1</Pages>
  <Words>1970</Words>
  <Characters>10836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[Subtítulo del documento]</vt:lpstr>
    </vt:vector>
  </TitlesOfParts>
  <Company>SUPERINTENDENCIA DE ELECTRICIDAD</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[Subtítulo del documento]</dc:title>
  <dc:subject/>
  <dc:creator>GERENCIA DE TARIFAS</dc:creator>
  <cp:keywords/>
  <dc:description/>
  <cp:lastModifiedBy>Luis Alfonso Villar Monteagudo</cp:lastModifiedBy>
  <cp:revision>3</cp:revision>
  <cp:lastPrinted>2021-08-24T20:23:00Z</cp:lastPrinted>
  <dcterms:created xsi:type="dcterms:W3CDTF">2022-09-26T13:35:00Z</dcterms:created>
  <dcterms:modified xsi:type="dcterms:W3CDTF">2022-09-26T13:38:00Z</dcterms:modified>
</cp:coreProperties>
</file>